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0255" w14:textId="77777777" w:rsidR="00CA2D5F" w:rsidRDefault="008732F5">
      <w:pPr>
        <w:spacing w:line="240" w:lineRule="auto"/>
        <w:jc w:val="both"/>
        <w:rPr>
          <w:rFonts w:ascii="Simplified Arabic" w:eastAsia="Simplified Arabic" w:hAnsi="Simplified Arabic" w:cs="Simplified Arabic"/>
          <w:b/>
          <w:sz w:val="32"/>
          <w:szCs w:val="32"/>
        </w:rPr>
      </w:pPr>
      <w:r>
        <w:rPr>
          <w:noProof/>
        </w:rPr>
        <w:drawing>
          <wp:anchor distT="0" distB="0" distL="114300" distR="114300" simplePos="0" relativeHeight="251658240" behindDoc="0" locked="0" layoutInCell="1" hidden="0" allowOverlap="1" wp14:anchorId="37FF8FB0" wp14:editId="62382FFF">
            <wp:simplePos x="0" y="0"/>
            <wp:positionH relativeFrom="column">
              <wp:posOffset>1874520</wp:posOffset>
            </wp:positionH>
            <wp:positionV relativeFrom="paragraph">
              <wp:posOffset>-307340</wp:posOffset>
            </wp:positionV>
            <wp:extent cx="1981200" cy="909955"/>
            <wp:effectExtent l="0" t="0" r="0" b="4445"/>
            <wp:wrapNone/>
            <wp:docPr id="2" name="image1.png" descr="C:\Users\noor\Desktop\final logo.png"/>
            <wp:cNvGraphicFramePr/>
            <a:graphic xmlns:a="http://schemas.openxmlformats.org/drawingml/2006/main">
              <a:graphicData uri="http://schemas.openxmlformats.org/drawingml/2006/picture">
                <pic:pic xmlns:pic="http://schemas.openxmlformats.org/drawingml/2006/picture">
                  <pic:nvPicPr>
                    <pic:cNvPr id="0" name="image1.png" descr="C:\Users\noor\Desktop\final logo.png"/>
                    <pic:cNvPicPr preferRelativeResize="0"/>
                  </pic:nvPicPr>
                  <pic:blipFill>
                    <a:blip r:embed="rId7"/>
                    <a:srcRect/>
                    <a:stretch>
                      <a:fillRect/>
                    </a:stretch>
                  </pic:blipFill>
                  <pic:spPr>
                    <a:xfrm>
                      <a:off x="0" y="0"/>
                      <a:ext cx="1981200" cy="909955"/>
                    </a:xfrm>
                    <a:prstGeom prst="rect">
                      <a:avLst/>
                    </a:prstGeom>
                    <a:ln/>
                  </pic:spPr>
                </pic:pic>
              </a:graphicData>
            </a:graphic>
          </wp:anchor>
        </w:drawing>
      </w:r>
    </w:p>
    <w:p w14:paraId="5F1332F8" w14:textId="77777777" w:rsidR="00CA2D5F" w:rsidRDefault="00CA2D5F"/>
    <w:p w14:paraId="7E9747DB" w14:textId="77777777" w:rsidR="00CA2D5F" w:rsidRPr="00770593" w:rsidRDefault="00C87426" w:rsidP="00770593">
      <w:pPr>
        <w:shd w:val="clear" w:color="auto" w:fill="DBEEF3"/>
        <w:spacing w:after="120" w:line="240" w:lineRule="auto"/>
        <w:jc w:val="center"/>
        <w:rPr>
          <w:b/>
          <w:sz w:val="24"/>
          <w:szCs w:val="24"/>
        </w:rPr>
      </w:pPr>
      <w:r w:rsidRPr="00770593">
        <w:rPr>
          <w:b/>
          <w:sz w:val="24"/>
          <w:szCs w:val="24"/>
        </w:rPr>
        <w:t xml:space="preserve">Palestinian </w:t>
      </w:r>
      <w:r w:rsidR="008732F5" w:rsidRPr="00770593">
        <w:rPr>
          <w:b/>
          <w:sz w:val="24"/>
          <w:szCs w:val="24"/>
        </w:rPr>
        <w:t xml:space="preserve">Opinion Poll on the </w:t>
      </w:r>
      <w:r w:rsidRPr="00770593">
        <w:rPr>
          <w:b/>
          <w:sz w:val="24"/>
          <w:szCs w:val="24"/>
        </w:rPr>
        <w:t>Impact of Covid-19, Evaluation of the</w:t>
      </w:r>
      <w:r w:rsidR="008732F5" w:rsidRPr="00770593">
        <w:rPr>
          <w:b/>
          <w:sz w:val="24"/>
          <w:szCs w:val="24"/>
        </w:rPr>
        <w:t xml:space="preserve"> Performance </w:t>
      </w:r>
      <w:r w:rsidRPr="00770593">
        <w:rPr>
          <w:b/>
          <w:sz w:val="24"/>
          <w:szCs w:val="24"/>
        </w:rPr>
        <w:t>of Actors, and Areas in Need of Improvement</w:t>
      </w:r>
    </w:p>
    <w:p w14:paraId="0CAC8EC1" w14:textId="77777777" w:rsidR="00C87426" w:rsidRPr="00770593" w:rsidRDefault="00C87426" w:rsidP="00770593">
      <w:pPr>
        <w:shd w:val="clear" w:color="auto" w:fill="DBEEF3"/>
        <w:spacing w:after="120" w:line="240" w:lineRule="auto"/>
        <w:jc w:val="center"/>
        <w:rPr>
          <w:b/>
          <w:sz w:val="24"/>
          <w:szCs w:val="24"/>
        </w:rPr>
      </w:pPr>
      <w:r w:rsidRPr="00770593">
        <w:rPr>
          <w:b/>
          <w:sz w:val="24"/>
          <w:szCs w:val="24"/>
        </w:rPr>
        <w:t>(Round 2)</w:t>
      </w:r>
    </w:p>
    <w:p w14:paraId="52ED2EB2" w14:textId="77777777" w:rsidR="00CA2D5F" w:rsidRPr="00770593" w:rsidRDefault="008732F5" w:rsidP="00770593">
      <w:pPr>
        <w:shd w:val="clear" w:color="auto" w:fill="DBEEF3"/>
        <w:spacing w:after="120" w:line="240" w:lineRule="auto"/>
        <w:jc w:val="center"/>
        <w:rPr>
          <w:b/>
          <w:sz w:val="24"/>
          <w:szCs w:val="24"/>
        </w:rPr>
      </w:pPr>
      <w:r w:rsidRPr="00770593">
        <w:rPr>
          <w:b/>
          <w:sz w:val="24"/>
          <w:szCs w:val="24"/>
        </w:rPr>
        <w:t xml:space="preserve">Publication date: </w:t>
      </w:r>
      <w:r w:rsidR="00A11CFC" w:rsidRPr="00770593">
        <w:rPr>
          <w:b/>
          <w:sz w:val="24"/>
          <w:szCs w:val="24"/>
        </w:rPr>
        <w:t>Mond</w:t>
      </w:r>
      <w:r w:rsidR="00C87426" w:rsidRPr="00770593">
        <w:rPr>
          <w:b/>
          <w:sz w:val="24"/>
          <w:szCs w:val="24"/>
        </w:rPr>
        <w:t>ay</w:t>
      </w:r>
      <w:r w:rsidRPr="00770593">
        <w:rPr>
          <w:b/>
          <w:sz w:val="24"/>
          <w:szCs w:val="24"/>
        </w:rPr>
        <w:t xml:space="preserve">, </w:t>
      </w:r>
      <w:r w:rsidR="00A11CFC" w:rsidRPr="00770593">
        <w:rPr>
          <w:b/>
          <w:sz w:val="24"/>
          <w:szCs w:val="24"/>
        </w:rPr>
        <w:t>20</w:t>
      </w:r>
      <w:r w:rsidR="00C87426" w:rsidRPr="00770593">
        <w:rPr>
          <w:b/>
          <w:sz w:val="24"/>
          <w:szCs w:val="24"/>
        </w:rPr>
        <w:t xml:space="preserve"> April</w:t>
      </w:r>
      <w:r w:rsidRPr="00770593">
        <w:rPr>
          <w:b/>
          <w:sz w:val="24"/>
          <w:szCs w:val="24"/>
        </w:rPr>
        <w:t xml:space="preserve"> 2020</w:t>
      </w:r>
    </w:p>
    <w:p w14:paraId="70253F6C" w14:textId="77777777" w:rsidR="00CA2D5F" w:rsidRPr="00770593" w:rsidRDefault="008732F5" w:rsidP="00770593">
      <w:pPr>
        <w:shd w:val="clear" w:color="auto" w:fill="DBEEF3"/>
        <w:spacing w:after="120" w:line="240" w:lineRule="auto"/>
        <w:jc w:val="center"/>
        <w:rPr>
          <w:b/>
          <w:sz w:val="24"/>
          <w:szCs w:val="24"/>
        </w:rPr>
      </w:pPr>
      <w:r w:rsidRPr="00770593">
        <w:rPr>
          <w:b/>
          <w:sz w:val="24"/>
          <w:szCs w:val="24"/>
        </w:rPr>
        <w:t>Date of the poll:</w:t>
      </w:r>
      <w:r w:rsidR="00C87426" w:rsidRPr="00770593">
        <w:rPr>
          <w:b/>
          <w:sz w:val="24"/>
          <w:szCs w:val="24"/>
        </w:rPr>
        <w:t xml:space="preserve"> 13-17 April</w:t>
      </w:r>
      <w:r w:rsidRPr="00770593">
        <w:rPr>
          <w:b/>
          <w:sz w:val="24"/>
          <w:szCs w:val="24"/>
        </w:rPr>
        <w:t xml:space="preserve"> 2020</w:t>
      </w:r>
    </w:p>
    <w:p w14:paraId="5FFF0D7D" w14:textId="77777777" w:rsidR="00CA2D5F" w:rsidRPr="00770593" w:rsidRDefault="008732F5" w:rsidP="00770593">
      <w:pPr>
        <w:shd w:val="clear" w:color="auto" w:fill="DBEEF3"/>
        <w:spacing w:after="120" w:line="240" w:lineRule="auto"/>
        <w:jc w:val="center"/>
        <w:rPr>
          <w:b/>
          <w:sz w:val="24"/>
          <w:szCs w:val="24"/>
        </w:rPr>
      </w:pPr>
      <w:r w:rsidRPr="00770593">
        <w:rPr>
          <w:b/>
          <w:sz w:val="24"/>
          <w:szCs w:val="24"/>
        </w:rPr>
        <w:t xml:space="preserve">Poll sample: </w:t>
      </w:r>
      <w:r w:rsidR="00C87426" w:rsidRPr="00770593">
        <w:rPr>
          <w:b/>
          <w:sz w:val="24"/>
          <w:szCs w:val="24"/>
        </w:rPr>
        <w:t>650</w:t>
      </w:r>
      <w:r w:rsidRPr="00770593">
        <w:rPr>
          <w:b/>
          <w:sz w:val="24"/>
          <w:szCs w:val="24"/>
        </w:rPr>
        <w:t xml:space="preserve"> economically and socially active Palestinian men and women</w:t>
      </w:r>
    </w:p>
    <w:p w14:paraId="56B56CF8" w14:textId="77777777" w:rsidR="00CA2D5F" w:rsidRPr="00770593" w:rsidRDefault="00CA2D5F" w:rsidP="00770593">
      <w:pPr>
        <w:spacing w:after="0" w:line="240" w:lineRule="auto"/>
        <w:jc w:val="both"/>
        <w:rPr>
          <w:rFonts w:ascii="Simplified Arabic" w:eastAsia="Simplified Arabic" w:hAnsi="Simplified Arabic" w:cs="Simplified Arabic"/>
          <w:b/>
          <w:sz w:val="8"/>
          <w:szCs w:val="8"/>
        </w:rPr>
      </w:pPr>
    </w:p>
    <w:p w14:paraId="092249E7" w14:textId="77777777" w:rsidR="00CA2D5F" w:rsidRDefault="008732F5">
      <w:pPr>
        <w:spacing w:line="240" w:lineRule="auto"/>
        <w:jc w:val="both"/>
        <w:rPr>
          <w:b/>
          <w:color w:val="7F7F7F"/>
          <w:sz w:val="32"/>
          <w:szCs w:val="32"/>
        </w:rPr>
      </w:pPr>
      <w:r>
        <w:rPr>
          <w:b/>
          <w:color w:val="7F7F7F"/>
          <w:sz w:val="32"/>
          <w:szCs w:val="32"/>
        </w:rPr>
        <w:t xml:space="preserve">Introduction </w:t>
      </w:r>
    </w:p>
    <w:p w14:paraId="0379D44D" w14:textId="215561F5" w:rsidR="00CA2D5F" w:rsidRDefault="008732F5" w:rsidP="00770593">
      <w:pPr>
        <w:spacing w:line="240" w:lineRule="auto"/>
        <w:jc w:val="both"/>
      </w:pPr>
      <w:r>
        <w:t xml:space="preserve">Arab World for Research and Development (AWRAD) presents to you the results of </w:t>
      </w:r>
      <w:r w:rsidR="00C87426">
        <w:t xml:space="preserve">its second opinion </w:t>
      </w:r>
      <w:r>
        <w:t>poll conducted among Palestinians who are considered socially and politically active (employees of the public, private, civil, and international sector; activists and community leaders; influential people such as those working in the media; university professors; youth activists and leaders of civil and f</w:t>
      </w:r>
      <w:r w:rsidR="00C87426">
        <w:t>eminist institutions, etc.). This</w:t>
      </w:r>
      <w:r>
        <w:t xml:space="preserve"> poll </w:t>
      </w:r>
      <w:r w:rsidR="00C87426">
        <w:t xml:space="preserve">focused on monitoring the </w:t>
      </w:r>
      <w:r w:rsidR="00252C6C">
        <w:t>developments of views on the performance of the Palestinian government</w:t>
      </w:r>
      <w:r w:rsidR="00AA3943">
        <w:t xml:space="preserve"> as well as</w:t>
      </w:r>
      <w:r w:rsidR="00252C6C">
        <w:t xml:space="preserve"> other actors including civil society, the private sector and the EU. The results of this poll serve to provide an assessment of points of strength and weakness from the perspective of a wide range of opinion leaders in order to guide and promote effective policies and actions to combat the spread of the virus and to mitigate the resulting economic and social damage. </w:t>
      </w:r>
    </w:p>
    <w:p w14:paraId="73D235FB" w14:textId="77777777" w:rsidR="00CA2D5F" w:rsidRPr="00770593" w:rsidRDefault="00CA2D5F">
      <w:pPr>
        <w:spacing w:after="0" w:line="240" w:lineRule="auto"/>
        <w:jc w:val="both"/>
        <w:rPr>
          <w:sz w:val="8"/>
          <w:szCs w:val="8"/>
        </w:rPr>
      </w:pPr>
    </w:p>
    <w:p w14:paraId="626DDE3C" w14:textId="77777777" w:rsidR="00CA2D5F" w:rsidRDefault="008732F5">
      <w:pPr>
        <w:spacing w:line="240" w:lineRule="auto"/>
        <w:jc w:val="both"/>
        <w:rPr>
          <w:b/>
          <w:color w:val="7F7F7F"/>
          <w:sz w:val="32"/>
          <w:szCs w:val="32"/>
        </w:rPr>
      </w:pPr>
      <w:r>
        <w:rPr>
          <w:b/>
          <w:color w:val="7F7F7F"/>
          <w:sz w:val="32"/>
          <w:szCs w:val="32"/>
        </w:rPr>
        <w:t xml:space="preserve">Survey Methodology </w:t>
      </w:r>
    </w:p>
    <w:p w14:paraId="2BF38DF9" w14:textId="2ED27EDB" w:rsidR="00CA2D5F" w:rsidRDefault="008732F5" w:rsidP="00955AB3">
      <w:pPr>
        <w:spacing w:line="240" w:lineRule="auto"/>
        <w:jc w:val="both"/>
      </w:pPr>
      <w:r>
        <w:t xml:space="preserve">The poll was conducted through an online survey, and it was answered by </w:t>
      </w:r>
      <w:r w:rsidR="00252C6C">
        <w:t>650</w:t>
      </w:r>
      <w:r>
        <w:t xml:space="preserve"> Palestinians, 7</w:t>
      </w:r>
      <w:r w:rsidR="00955AB3">
        <w:t>4</w:t>
      </w:r>
      <w:r>
        <w:t>% from the West Bank and 2</w:t>
      </w:r>
      <w:r w:rsidR="00955AB3">
        <w:t>6</w:t>
      </w:r>
      <w:r>
        <w:t xml:space="preserve">% from the Gaza Strip. </w:t>
      </w:r>
      <w:r w:rsidR="00252C6C">
        <w:t>More women (5</w:t>
      </w:r>
      <w:r w:rsidR="00E91CF3">
        <w:t>2</w:t>
      </w:r>
      <w:r w:rsidR="00252C6C">
        <w:t>%) than men (4</w:t>
      </w:r>
      <w:r w:rsidR="00E91CF3">
        <w:t>8</w:t>
      </w:r>
      <w:r w:rsidR="00252C6C">
        <w:t xml:space="preserve">%) participated in this survey. The vast majority of the </w:t>
      </w:r>
      <w:r w:rsidR="00955AB3">
        <w:t>participants</w:t>
      </w:r>
      <w:r w:rsidR="00252C6C">
        <w:t xml:space="preserve"> </w:t>
      </w:r>
      <w:r w:rsidR="00955AB3">
        <w:t>(8</w:t>
      </w:r>
      <w:r w:rsidR="00E91CF3">
        <w:t>9</w:t>
      </w:r>
      <w:r w:rsidR="00955AB3">
        <w:t xml:space="preserve">%) </w:t>
      </w:r>
      <w:r w:rsidR="00252C6C">
        <w:t xml:space="preserve">have </w:t>
      </w:r>
      <w:r w:rsidR="00955AB3">
        <w:t xml:space="preserve">some </w:t>
      </w:r>
      <w:r w:rsidR="00252C6C">
        <w:t xml:space="preserve">university </w:t>
      </w:r>
      <w:r w:rsidR="00955AB3">
        <w:t xml:space="preserve">education, with </w:t>
      </w:r>
      <w:r w:rsidR="00E91CF3">
        <w:t>30</w:t>
      </w:r>
      <w:r w:rsidR="00955AB3">
        <w:t xml:space="preserve">% of them holding an MA or more. </w:t>
      </w:r>
      <w:r>
        <w:t xml:space="preserve">Of the sample, </w:t>
      </w:r>
      <w:r w:rsidR="00955AB3">
        <w:t>26</w:t>
      </w:r>
      <w:r>
        <w:t xml:space="preserve">% work in the public sector, </w:t>
      </w:r>
      <w:r w:rsidR="00955AB3">
        <w:t>27</w:t>
      </w:r>
      <w:r>
        <w:t>% in the private sector, 1</w:t>
      </w:r>
      <w:r w:rsidR="00955AB3">
        <w:t>5</w:t>
      </w:r>
      <w:r>
        <w:t xml:space="preserve">% in NGOs, and 7% in international institutions. </w:t>
      </w:r>
      <w:r w:rsidR="00955AB3">
        <w:t xml:space="preserve">A quarter of the participants </w:t>
      </w:r>
      <w:r w:rsidR="00451EF3">
        <w:t xml:space="preserve">(respondents) </w:t>
      </w:r>
      <w:r w:rsidR="00955AB3">
        <w:t xml:space="preserve">state they do not work in </w:t>
      </w:r>
      <w:r w:rsidR="00AA3943">
        <w:t xml:space="preserve">any </w:t>
      </w:r>
      <w:r w:rsidR="00955AB3">
        <w:t>of the sectors</w:t>
      </w:r>
      <w:r w:rsidR="00AA3943">
        <w:t>:</w:t>
      </w:r>
      <w:r w:rsidR="00955AB3">
        <w:t xml:space="preserve"> some are recently unemployed, while others are students or retired. </w:t>
      </w:r>
      <w:r>
        <w:t xml:space="preserve">As for age distribution, </w:t>
      </w:r>
      <w:r w:rsidR="00955AB3">
        <w:t>27</w:t>
      </w:r>
      <w:r>
        <w:t>% were 18-30 years old, 5</w:t>
      </w:r>
      <w:r w:rsidR="00955AB3">
        <w:t>6</w:t>
      </w:r>
      <w:r>
        <w:t>% were 31-50 years old, and 1</w:t>
      </w:r>
      <w:r w:rsidR="00955AB3">
        <w:t>7</w:t>
      </w:r>
      <w:r>
        <w:t xml:space="preserve">% were </w:t>
      </w:r>
      <w:r w:rsidR="00955AB3">
        <w:t>older than</w:t>
      </w:r>
      <w:r>
        <w:t xml:space="preserve"> 50. The questionnaire was presented to a wide sample of socially active Palestinians through social media platforms and groups, while ensuring the largest possible representation of all geographical regions and socio-economic variables. The survey was open for a period of </w:t>
      </w:r>
      <w:r w:rsidR="00955AB3">
        <w:t>5</w:t>
      </w:r>
      <w:r>
        <w:t xml:space="preserve"> days (</w:t>
      </w:r>
      <w:r w:rsidR="00955AB3">
        <w:t xml:space="preserve">13-17 April). </w:t>
      </w:r>
    </w:p>
    <w:p w14:paraId="399A4BB2" w14:textId="2D39FBE3" w:rsidR="00AA3943" w:rsidRDefault="000A09B4" w:rsidP="00451EF3">
      <w:pPr>
        <w:spacing w:line="240" w:lineRule="auto"/>
        <w:jc w:val="both"/>
      </w:pPr>
      <w:r>
        <w:t xml:space="preserve">Soon after this, AWRAD will be publishing a specialized analysis of the impacts of the Covid-19 crisis on the livelihoods of families and individuals and their coping strategies. </w:t>
      </w:r>
      <w:r w:rsidR="00451EF3">
        <w:t>It</w:t>
      </w:r>
      <w:r w:rsidR="00770593">
        <w:t xml:space="preserve"> will provide insights on the impacts of the crisis on various aspects of life</w:t>
      </w:r>
      <w:r w:rsidR="00AA3943">
        <w:t>,</w:t>
      </w:r>
      <w:r w:rsidR="00770593">
        <w:t xml:space="preserve"> including economic</w:t>
      </w:r>
      <w:r w:rsidR="00AA3943">
        <w:t xml:space="preserve"> and</w:t>
      </w:r>
      <w:r w:rsidR="00770593">
        <w:t xml:space="preserve"> social</w:t>
      </w:r>
      <w:r w:rsidR="00AA3943">
        <w:t xml:space="preserve"> repercussions</w:t>
      </w:r>
      <w:r w:rsidR="00770593">
        <w:t>, mental health, smoking, exercise, GBV, social solidarity and voluntarism.</w:t>
      </w:r>
    </w:p>
    <w:p w14:paraId="6F56B504" w14:textId="77777777" w:rsidR="00CA2D5F" w:rsidRPr="00770593" w:rsidRDefault="008732F5" w:rsidP="00A11CFC">
      <w:pPr>
        <w:spacing w:line="240" w:lineRule="auto"/>
        <w:jc w:val="both"/>
        <w:rPr>
          <w:bCs/>
        </w:rPr>
      </w:pPr>
      <w:r w:rsidRPr="00770593">
        <w:rPr>
          <w:bCs/>
        </w:rPr>
        <w:t xml:space="preserve">For more information or clarifications, please contact Dr. Nader Said (0599204527 or </w:t>
      </w:r>
      <w:hyperlink r:id="rId8">
        <w:r w:rsidRPr="00770593">
          <w:rPr>
            <w:bCs/>
            <w:color w:val="0000FF"/>
            <w:u w:val="single"/>
          </w:rPr>
          <w:t>nader@awrad.org</w:t>
        </w:r>
      </w:hyperlink>
      <w:r w:rsidRPr="00770593">
        <w:rPr>
          <w:bCs/>
        </w:rPr>
        <w:t xml:space="preserve">) or Samer Said (0599846183 or </w:t>
      </w:r>
      <w:hyperlink r:id="rId9">
        <w:r w:rsidRPr="00770593">
          <w:rPr>
            <w:bCs/>
            <w:color w:val="0000FF"/>
            <w:u w:val="single"/>
          </w:rPr>
          <w:t>samer@awrad.org</w:t>
        </w:r>
      </w:hyperlink>
      <w:r w:rsidR="00A11CFC" w:rsidRPr="00770593">
        <w:rPr>
          <w:bCs/>
        </w:rPr>
        <w:t>). To obtain the results</w:t>
      </w:r>
      <w:r w:rsidRPr="00770593">
        <w:rPr>
          <w:bCs/>
        </w:rPr>
        <w:t xml:space="preserve">, visit the AWARD website: </w:t>
      </w:r>
      <w:hyperlink r:id="rId10">
        <w:r w:rsidRPr="00770593">
          <w:rPr>
            <w:bCs/>
            <w:color w:val="0000FF"/>
            <w:u w:val="single"/>
          </w:rPr>
          <w:t>www.awrad.org</w:t>
        </w:r>
      </w:hyperlink>
      <w:r w:rsidR="00A11CFC" w:rsidRPr="00770593">
        <w:rPr>
          <w:bCs/>
          <w:color w:val="0000FF"/>
          <w:u w:val="single"/>
        </w:rPr>
        <w:t>/en</w:t>
      </w:r>
      <w:r w:rsidRPr="00770593">
        <w:rPr>
          <w:bCs/>
        </w:rPr>
        <w:t xml:space="preserve"> </w:t>
      </w:r>
    </w:p>
    <w:p w14:paraId="6C6B53FC" w14:textId="77777777" w:rsidR="00CA2D5F" w:rsidRDefault="00CA2D5F">
      <w:pPr>
        <w:spacing w:line="240" w:lineRule="auto"/>
        <w:jc w:val="both"/>
        <w:rPr>
          <w:b/>
        </w:rPr>
      </w:pPr>
    </w:p>
    <w:p w14:paraId="6C81DC5C" w14:textId="77777777" w:rsidR="00770593" w:rsidRDefault="00770593">
      <w:pPr>
        <w:rPr>
          <w:b/>
          <w:color w:val="7F7F7F"/>
          <w:sz w:val="32"/>
          <w:szCs w:val="32"/>
        </w:rPr>
      </w:pPr>
      <w:r>
        <w:rPr>
          <w:b/>
          <w:color w:val="7F7F7F"/>
          <w:sz w:val="32"/>
          <w:szCs w:val="32"/>
        </w:rPr>
        <w:br w:type="page"/>
      </w:r>
    </w:p>
    <w:p w14:paraId="4CEFB254" w14:textId="77777777" w:rsidR="00CA2D5F" w:rsidRDefault="008732F5">
      <w:pPr>
        <w:spacing w:line="240" w:lineRule="auto"/>
        <w:jc w:val="both"/>
        <w:rPr>
          <w:b/>
          <w:color w:val="7F7F7F"/>
          <w:sz w:val="32"/>
          <w:szCs w:val="32"/>
        </w:rPr>
      </w:pPr>
      <w:r>
        <w:rPr>
          <w:b/>
          <w:color w:val="7F7F7F"/>
          <w:sz w:val="32"/>
          <w:szCs w:val="32"/>
        </w:rPr>
        <w:lastRenderedPageBreak/>
        <w:t>Highlights</w:t>
      </w:r>
    </w:p>
    <w:p w14:paraId="22991290" w14:textId="252956AF" w:rsidR="00111093" w:rsidRDefault="00111093"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80% support President Abbas</w:t>
      </w:r>
      <w:r w:rsidR="00AA3943">
        <w:rPr>
          <w:color w:val="000000"/>
        </w:rPr>
        <w:t>’s</w:t>
      </w:r>
      <w:r>
        <w:rPr>
          <w:color w:val="000000"/>
        </w:rPr>
        <w:t xml:space="preserve"> decision to extend the State of Emergency.</w:t>
      </w:r>
    </w:p>
    <w:p w14:paraId="6569F42E" w14:textId="3DEF3398" w:rsidR="00CA2D5F" w:rsidRDefault="00111093"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75</w:t>
      </w:r>
      <w:r w:rsidR="008732F5">
        <w:rPr>
          <w:color w:val="000000"/>
        </w:rPr>
        <w:t>% of respondents evaluate the overall performance of the govern</w:t>
      </w:r>
      <w:r>
        <w:rPr>
          <w:color w:val="000000"/>
        </w:rPr>
        <w:t xml:space="preserve">ment of Dr. </w:t>
      </w:r>
      <w:proofErr w:type="spellStart"/>
      <w:r>
        <w:rPr>
          <w:color w:val="000000"/>
        </w:rPr>
        <w:t>Shtayyeh</w:t>
      </w:r>
      <w:proofErr w:type="spellEnd"/>
      <w:r>
        <w:rPr>
          <w:color w:val="000000"/>
        </w:rPr>
        <w:t xml:space="preserve"> positively</w:t>
      </w:r>
      <w:r w:rsidR="008F53D6">
        <w:rPr>
          <w:color w:val="000000"/>
        </w:rPr>
        <w:t xml:space="preserve">, and give the government a </w:t>
      </w:r>
      <w:r w:rsidR="00AA3943">
        <w:rPr>
          <w:color w:val="000000"/>
        </w:rPr>
        <w:t>s</w:t>
      </w:r>
      <w:r w:rsidR="008F53D6">
        <w:rPr>
          <w:color w:val="000000"/>
        </w:rPr>
        <w:t>core of 7.8 out of 10</w:t>
      </w:r>
      <w:r w:rsidR="008732F5">
        <w:rPr>
          <w:color w:val="000000"/>
        </w:rPr>
        <w:t>.</w:t>
      </w:r>
    </w:p>
    <w:p w14:paraId="2CC968B2" w14:textId="04741A9F" w:rsidR="008F53D6" w:rsidRDefault="008F53D6"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64% do not believe that the Covid-19 pandemic will lead to </w:t>
      </w:r>
      <w:r w:rsidR="00AA3943">
        <w:rPr>
          <w:color w:val="000000"/>
        </w:rPr>
        <w:t xml:space="preserve">an </w:t>
      </w:r>
      <w:r>
        <w:rPr>
          <w:color w:val="000000"/>
        </w:rPr>
        <w:t xml:space="preserve">end </w:t>
      </w:r>
      <w:r w:rsidR="00AA3943">
        <w:rPr>
          <w:color w:val="000000"/>
        </w:rPr>
        <w:t xml:space="preserve">to </w:t>
      </w:r>
      <w:r>
        <w:rPr>
          <w:color w:val="000000"/>
        </w:rPr>
        <w:t xml:space="preserve">the internal Palestinian division. Only 7% believe </w:t>
      </w:r>
      <w:r w:rsidR="002060FD">
        <w:rPr>
          <w:color w:val="000000"/>
        </w:rPr>
        <w:t>it will</w:t>
      </w:r>
      <w:r>
        <w:rPr>
          <w:color w:val="000000"/>
        </w:rPr>
        <w:t>.</w:t>
      </w:r>
    </w:p>
    <w:p w14:paraId="45C2424A" w14:textId="77777777" w:rsidR="000A09B4" w:rsidRDefault="000A09B4"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93% expect negative consequences regarding the economy and 85% regarding education.</w:t>
      </w:r>
    </w:p>
    <w:p w14:paraId="4875F19D" w14:textId="77777777" w:rsidR="000A09B4" w:rsidRDefault="000A09B4"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Expectations that violence against women would increase skyrocketed (a 51% relative increase in expectations from AWRAD’s first poll). </w:t>
      </w:r>
    </w:p>
    <w:p w14:paraId="6FC300FA" w14:textId="77777777" w:rsidR="000A09B4" w:rsidRDefault="000A09B4"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58% expect that community violence and crime will increase.</w:t>
      </w:r>
    </w:p>
    <w:p w14:paraId="27097B12" w14:textId="752DF1F7" w:rsidR="00111093" w:rsidRDefault="00111093"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Perceived improvement in the </w:t>
      </w:r>
      <w:r w:rsidR="002060FD">
        <w:rPr>
          <w:color w:val="000000"/>
        </w:rPr>
        <w:t>g</w:t>
      </w:r>
      <w:r>
        <w:rPr>
          <w:color w:val="000000"/>
        </w:rPr>
        <w:t>overnment’s handling of the issue of Palestinian workers returning from Israel.</w:t>
      </w:r>
    </w:p>
    <w:p w14:paraId="31C32BF2" w14:textId="779347CA" w:rsidR="00111093" w:rsidRDefault="00351BB9"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T</w:t>
      </w:r>
      <w:r w:rsidR="00111093">
        <w:rPr>
          <w:color w:val="000000"/>
        </w:rPr>
        <w:t>he ability of the government to secure basic commodities, the increase of Palestinian presence in communities surrounding Jerusalem and the establishment of a national fund to combat Covid-19 (</w:t>
      </w:r>
      <w:r w:rsidR="002060FD">
        <w:rPr>
          <w:color w:val="000000"/>
        </w:rPr>
        <w:t xml:space="preserve">i.e., </w:t>
      </w:r>
      <w:proofErr w:type="spellStart"/>
      <w:r w:rsidR="00111093">
        <w:rPr>
          <w:color w:val="000000"/>
        </w:rPr>
        <w:t>Waqfat</w:t>
      </w:r>
      <w:proofErr w:type="spellEnd"/>
      <w:r w:rsidR="00111093">
        <w:rPr>
          <w:color w:val="000000"/>
        </w:rPr>
        <w:t xml:space="preserve"> </w:t>
      </w:r>
      <w:proofErr w:type="spellStart"/>
      <w:r w:rsidR="00111093">
        <w:rPr>
          <w:color w:val="000000"/>
        </w:rPr>
        <w:t>Izz</w:t>
      </w:r>
      <w:proofErr w:type="spellEnd"/>
      <w:r w:rsidR="00111093">
        <w:rPr>
          <w:color w:val="000000"/>
        </w:rPr>
        <w:t>)</w:t>
      </w:r>
      <w:r>
        <w:rPr>
          <w:color w:val="000000"/>
        </w:rPr>
        <w:t xml:space="preserve"> each received positive evaluations from a majority of respondents.</w:t>
      </w:r>
    </w:p>
    <w:p w14:paraId="2779A48E" w14:textId="68360725" w:rsidR="008F53D6" w:rsidRDefault="008F53D6"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The highest level of positive evaluation is for the transparency in information sharing by the Palestinian </w:t>
      </w:r>
      <w:r w:rsidR="002060FD">
        <w:rPr>
          <w:color w:val="000000"/>
        </w:rPr>
        <w:t>g</w:t>
      </w:r>
      <w:r>
        <w:rPr>
          <w:color w:val="000000"/>
        </w:rPr>
        <w:t xml:space="preserve">overnment. </w:t>
      </w:r>
    </w:p>
    <w:p w14:paraId="00AA9390" w14:textId="32B28D37" w:rsidR="00111093" w:rsidRDefault="00111093"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Majorities </w:t>
      </w:r>
      <w:r w:rsidR="00351BB9">
        <w:rPr>
          <w:color w:val="000000"/>
        </w:rPr>
        <w:t xml:space="preserve">of respondents </w:t>
      </w:r>
      <w:r>
        <w:rPr>
          <w:color w:val="000000"/>
        </w:rPr>
        <w:t xml:space="preserve">continue to perceive </w:t>
      </w:r>
      <w:r w:rsidR="008F53D6" w:rsidRPr="008F53D6">
        <w:t>finding alternatives to school education</w:t>
      </w:r>
      <w:r w:rsidR="008F53D6" w:rsidRPr="00715A0D">
        <w:rPr>
          <w:b/>
          <w:bCs/>
        </w:rPr>
        <w:t xml:space="preserve"> </w:t>
      </w:r>
      <w:r>
        <w:rPr>
          <w:color w:val="000000"/>
        </w:rPr>
        <w:t xml:space="preserve">and </w:t>
      </w:r>
      <w:r w:rsidR="008F53D6">
        <w:rPr>
          <w:color w:val="000000"/>
        </w:rPr>
        <w:t xml:space="preserve">unemployment </w:t>
      </w:r>
      <w:r>
        <w:rPr>
          <w:color w:val="000000"/>
        </w:rPr>
        <w:t>compensation as inadequate.</w:t>
      </w:r>
    </w:p>
    <w:p w14:paraId="2AEBA2BA" w14:textId="77777777" w:rsidR="00111093" w:rsidRDefault="00111093"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A majority disagree with the relaxation of movement restrictions in Gaza.</w:t>
      </w:r>
    </w:p>
    <w:p w14:paraId="2CCE81E1" w14:textId="77777777" w:rsidR="008F53D6" w:rsidRDefault="008F53D6"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 xml:space="preserve">Improvement in the level of positive evaluation of the Ministry of Health (71. to 7.3), Palestine TV (6.4 to 6.5) and the Authorities in Gaza (from 5.2 to 5.7). </w:t>
      </w:r>
    </w:p>
    <w:p w14:paraId="09595E95" w14:textId="77777777" w:rsidR="000A09B4" w:rsidRDefault="000A09B4"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Out of 10 points, participants give the key actors the following scores: Local Emergency Committees (6.6), Fatah (6.2), the EU (5.3) and Hamas (4.2).</w:t>
      </w:r>
    </w:p>
    <w:p w14:paraId="448E410C" w14:textId="1D3AAAB9" w:rsidR="000A09B4" w:rsidRDefault="000A09B4" w:rsidP="00451EF3">
      <w:pPr>
        <w:numPr>
          <w:ilvl w:val="0"/>
          <w:numId w:val="2"/>
        </w:numPr>
        <w:pBdr>
          <w:top w:val="nil"/>
          <w:left w:val="nil"/>
          <w:bottom w:val="nil"/>
          <w:right w:val="nil"/>
          <w:between w:val="nil"/>
        </w:pBdr>
        <w:spacing w:after="120" w:line="240" w:lineRule="auto"/>
        <w:ind w:left="360"/>
        <w:jc w:val="both"/>
        <w:rPr>
          <w:color w:val="000000"/>
        </w:rPr>
      </w:pPr>
      <w:r>
        <w:rPr>
          <w:color w:val="000000"/>
        </w:rPr>
        <w:t>The overall personal feeling of security regarding contracting the Covid-19 virus (Covid-19 security index) is 6.1 (out of 10 as high feeling of security) and the Covid-19 security index regarding one’s own other household members is 5.9.</w:t>
      </w:r>
    </w:p>
    <w:p w14:paraId="2062536C" w14:textId="77777777" w:rsidR="00CA2D5F" w:rsidRDefault="00CA2D5F">
      <w:pPr>
        <w:spacing w:after="0" w:line="240" w:lineRule="auto"/>
        <w:jc w:val="both"/>
      </w:pPr>
    </w:p>
    <w:p w14:paraId="77272129" w14:textId="77777777" w:rsidR="000A09B4" w:rsidRDefault="000A09B4">
      <w:pPr>
        <w:rPr>
          <w:b/>
          <w:color w:val="7F7F7F"/>
          <w:sz w:val="32"/>
          <w:szCs w:val="32"/>
        </w:rPr>
      </w:pPr>
      <w:r>
        <w:rPr>
          <w:b/>
          <w:color w:val="7F7F7F"/>
          <w:sz w:val="32"/>
          <w:szCs w:val="32"/>
        </w:rPr>
        <w:br w:type="page"/>
      </w:r>
    </w:p>
    <w:p w14:paraId="33301450" w14:textId="77777777" w:rsidR="00CA2D5F" w:rsidRDefault="008732F5">
      <w:pPr>
        <w:spacing w:line="240" w:lineRule="auto"/>
        <w:jc w:val="both"/>
        <w:rPr>
          <w:b/>
          <w:color w:val="7F7F7F"/>
          <w:sz w:val="32"/>
          <w:szCs w:val="32"/>
        </w:rPr>
      </w:pPr>
      <w:r>
        <w:rPr>
          <w:b/>
          <w:color w:val="7F7F7F"/>
          <w:sz w:val="32"/>
          <w:szCs w:val="32"/>
        </w:rPr>
        <w:lastRenderedPageBreak/>
        <w:t>Detailed Results</w:t>
      </w:r>
    </w:p>
    <w:p w14:paraId="568802A0" w14:textId="77777777" w:rsidR="00CA2D5F" w:rsidRDefault="008732F5" w:rsidP="007A25B1">
      <w:pPr>
        <w:shd w:val="clear" w:color="auto" w:fill="DBEEF3"/>
        <w:spacing w:line="240" w:lineRule="auto"/>
        <w:jc w:val="both"/>
        <w:rPr>
          <w:b/>
        </w:rPr>
      </w:pPr>
      <w:r>
        <w:rPr>
          <w:b/>
        </w:rPr>
        <w:t xml:space="preserve">(1) </w:t>
      </w:r>
      <w:r w:rsidR="007A25B1">
        <w:rPr>
          <w:b/>
        </w:rPr>
        <w:t xml:space="preserve">A Majority Continues to Positively Evaluate the Performance of the </w:t>
      </w:r>
      <w:proofErr w:type="spellStart"/>
      <w:r w:rsidR="007A25B1">
        <w:rPr>
          <w:b/>
        </w:rPr>
        <w:t>Shtayyeh</w:t>
      </w:r>
      <w:proofErr w:type="spellEnd"/>
      <w:r w:rsidR="007A25B1">
        <w:rPr>
          <w:b/>
        </w:rPr>
        <w:t xml:space="preserve"> Government</w:t>
      </w:r>
    </w:p>
    <w:p w14:paraId="3AD98B7E" w14:textId="5EC126D7" w:rsidR="00CA2D5F" w:rsidRDefault="008732F5" w:rsidP="003030C1">
      <w:pPr>
        <w:spacing w:line="240" w:lineRule="auto"/>
        <w:jc w:val="both"/>
      </w:pPr>
      <w:r>
        <w:t xml:space="preserve">In this survey, </w:t>
      </w:r>
      <w:r w:rsidR="007A25B1">
        <w:t>75</w:t>
      </w:r>
      <w:r>
        <w:t xml:space="preserve">% rated </w:t>
      </w:r>
      <w:r w:rsidR="007A25B1">
        <w:t xml:space="preserve">the government </w:t>
      </w:r>
      <w:r>
        <w:t xml:space="preserve">performance as </w:t>
      </w:r>
      <w:r w:rsidR="007A25B1">
        <w:t>good</w:t>
      </w:r>
      <w:r>
        <w:t xml:space="preserve">, </w:t>
      </w:r>
      <w:r w:rsidR="007A25B1">
        <w:t>20</w:t>
      </w:r>
      <w:r>
        <w:t xml:space="preserve">% as average, and </w:t>
      </w:r>
      <w:r w:rsidR="007A25B1">
        <w:t>5</w:t>
      </w:r>
      <w:r>
        <w:t>% as weak. This is a</w:t>
      </w:r>
      <w:r w:rsidR="007A25B1">
        <w:t xml:space="preserve"> statistically slight de</w:t>
      </w:r>
      <w:r w:rsidR="00CA68F9">
        <w:t>clin</w:t>
      </w:r>
      <w:r w:rsidR="007A25B1">
        <w:t>e f</w:t>
      </w:r>
      <w:r w:rsidR="001D2B40">
        <w:t>r</w:t>
      </w:r>
      <w:r w:rsidR="007A25B1">
        <w:t xml:space="preserve">om 2 weeks ago, where 82% rated the overall performance of the government as good. </w:t>
      </w:r>
      <w:r w:rsidR="00612E98" w:rsidRPr="00E91CF3">
        <w:t>While t</w:t>
      </w:r>
      <w:r w:rsidRPr="00E91CF3">
        <w:t xml:space="preserve">he positive evaluation of the performance of Dr. </w:t>
      </w:r>
      <w:proofErr w:type="spellStart"/>
      <w:r w:rsidRPr="00E91CF3">
        <w:t>Shtayyeh’s</w:t>
      </w:r>
      <w:proofErr w:type="spellEnd"/>
      <w:r w:rsidRPr="00E91CF3">
        <w:t xml:space="preserve"> government </w:t>
      </w:r>
      <w:r w:rsidR="00612E98" w:rsidRPr="00E91CF3">
        <w:t>wa</w:t>
      </w:r>
      <w:r w:rsidRPr="00E91CF3">
        <w:t>s equal between the West Bank and the Gaza Strip</w:t>
      </w:r>
      <w:r w:rsidR="00612E98" w:rsidRPr="00E91CF3">
        <w:t xml:space="preserve"> two weeks ago</w:t>
      </w:r>
      <w:r w:rsidRPr="00E91CF3">
        <w:t xml:space="preserve">, </w:t>
      </w:r>
      <w:r w:rsidR="00612E98" w:rsidRPr="00E91CF3">
        <w:t xml:space="preserve">this poll shows a widening gap between the two regions where the positive evaluation is now higher in the West Bank (77%) than Gaza (66%). </w:t>
      </w:r>
      <w:r w:rsidR="003030C1" w:rsidRPr="00E91CF3">
        <w:t>W</w:t>
      </w:r>
      <w:r w:rsidRPr="00E91CF3">
        <w:t xml:space="preserve">omen </w:t>
      </w:r>
      <w:r w:rsidR="003030C1" w:rsidRPr="00E91CF3">
        <w:t xml:space="preserve">tend to be more positive towards the performance of the government (78%) than </w:t>
      </w:r>
      <w:r w:rsidRPr="00E91CF3">
        <w:t>men</w:t>
      </w:r>
      <w:r w:rsidR="003030C1" w:rsidRPr="00E91CF3">
        <w:t xml:space="preserve"> (72%)</w:t>
      </w:r>
      <w:r w:rsidRPr="00E91CF3">
        <w:t>.</w:t>
      </w:r>
      <w:r>
        <w:t xml:space="preserve"> </w:t>
      </w:r>
    </w:p>
    <w:p w14:paraId="46C932AC" w14:textId="77777777" w:rsidR="00CA68F9" w:rsidRDefault="00CA68F9" w:rsidP="00CA68F9">
      <w:pPr>
        <w:spacing w:after="0" w:line="240" w:lineRule="auto"/>
        <w:jc w:val="both"/>
      </w:pPr>
    </w:p>
    <w:p w14:paraId="2FA9B86B" w14:textId="77777777" w:rsidR="00CA68F9" w:rsidRDefault="00CA68F9" w:rsidP="00770593">
      <w:pPr>
        <w:spacing w:line="240" w:lineRule="auto"/>
        <w:jc w:val="center"/>
      </w:pPr>
      <w:r w:rsidRPr="00CA68F9">
        <w:rPr>
          <w:b/>
          <w:bCs/>
          <w:noProof/>
        </w:rPr>
        <w:drawing>
          <wp:anchor distT="0" distB="0" distL="114300" distR="114300" simplePos="0" relativeHeight="251660288" behindDoc="0" locked="0" layoutInCell="1" allowOverlap="1" wp14:anchorId="20963A68" wp14:editId="3E4B696B">
            <wp:simplePos x="0" y="0"/>
            <wp:positionH relativeFrom="column">
              <wp:posOffset>-19050</wp:posOffset>
            </wp:positionH>
            <wp:positionV relativeFrom="paragraph">
              <wp:posOffset>297180</wp:posOffset>
            </wp:positionV>
            <wp:extent cx="5695950" cy="2381250"/>
            <wp:effectExtent l="0" t="0" r="19050" b="1905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A68F9">
        <w:rPr>
          <w:b/>
          <w:bCs/>
        </w:rPr>
        <w:t>Figure 1: Overall Evaluation of the Performance of the Government (A Comparative Perspective)</w:t>
      </w:r>
    </w:p>
    <w:p w14:paraId="1D14A2BC" w14:textId="77777777" w:rsidR="00CA2D5F" w:rsidRDefault="00CA2D5F" w:rsidP="00CA68F9">
      <w:pPr>
        <w:spacing w:line="240" w:lineRule="auto"/>
        <w:jc w:val="both"/>
      </w:pPr>
    </w:p>
    <w:p w14:paraId="3BB3D32D" w14:textId="0EA926D2" w:rsidR="00CA2D5F" w:rsidRDefault="008732F5">
      <w:pPr>
        <w:shd w:val="clear" w:color="auto" w:fill="DBEEF3"/>
        <w:spacing w:line="240" w:lineRule="auto"/>
        <w:jc w:val="both"/>
        <w:rPr>
          <w:b/>
        </w:rPr>
      </w:pPr>
      <w:r>
        <w:rPr>
          <w:b/>
        </w:rPr>
        <w:t xml:space="preserve">(2) Evaluation of the </w:t>
      </w:r>
      <w:r w:rsidR="0039409D">
        <w:rPr>
          <w:b/>
        </w:rPr>
        <w:t>M</w:t>
      </w:r>
      <w:r>
        <w:rPr>
          <w:b/>
        </w:rPr>
        <w:t xml:space="preserve">easures to </w:t>
      </w:r>
      <w:r w:rsidR="0039409D">
        <w:rPr>
          <w:b/>
        </w:rPr>
        <w:t>D</w:t>
      </w:r>
      <w:r>
        <w:rPr>
          <w:b/>
        </w:rPr>
        <w:t xml:space="preserve">eal with the COVID-19 </w:t>
      </w:r>
      <w:r w:rsidR="0039409D">
        <w:rPr>
          <w:b/>
        </w:rPr>
        <w:t>P</w:t>
      </w:r>
      <w:r>
        <w:rPr>
          <w:b/>
        </w:rPr>
        <w:t xml:space="preserve">andemic </w:t>
      </w:r>
    </w:p>
    <w:p w14:paraId="7CB926C2" w14:textId="34EEE18A" w:rsidR="00341B20" w:rsidRDefault="00341B20">
      <w:pPr>
        <w:spacing w:line="240" w:lineRule="auto"/>
        <w:jc w:val="both"/>
      </w:pPr>
      <w:r>
        <w:t xml:space="preserve">The following measures were assessed by the participants once in terms of their </w:t>
      </w:r>
      <w:r w:rsidR="00CF0CA8">
        <w:t>appropriateness</w:t>
      </w:r>
      <w:r w:rsidR="00C23BC9">
        <w:t xml:space="preserve"> (as in the previous round of the poll)</w:t>
      </w:r>
      <w:r w:rsidR="00CF0CA8">
        <w:t>,</w:t>
      </w:r>
      <w:r>
        <w:t xml:space="preserve"> and once in terms of level of improvement du</w:t>
      </w:r>
      <w:r w:rsidR="00CF0CA8">
        <w:t>r</w:t>
      </w:r>
      <w:r>
        <w:t>ing the past two weeks:</w:t>
      </w:r>
    </w:p>
    <w:p w14:paraId="6610D044" w14:textId="4B4F31F1" w:rsidR="00CF0CA8" w:rsidRDefault="00A11CFC" w:rsidP="00CF0CA8">
      <w:pPr>
        <w:pStyle w:val="ListParagraph"/>
        <w:numPr>
          <w:ilvl w:val="0"/>
          <w:numId w:val="3"/>
        </w:numPr>
        <w:spacing w:line="240" w:lineRule="auto"/>
        <w:jc w:val="both"/>
      </w:pPr>
      <w:r w:rsidRPr="00A11CFC">
        <w:rPr>
          <w:b/>
          <w:bCs/>
        </w:rPr>
        <w:t xml:space="preserve">Transparency and </w:t>
      </w:r>
      <w:r>
        <w:rPr>
          <w:b/>
          <w:bCs/>
        </w:rPr>
        <w:t>i</w:t>
      </w:r>
      <w:r w:rsidRPr="00A11CFC">
        <w:rPr>
          <w:b/>
          <w:bCs/>
        </w:rPr>
        <w:t xml:space="preserve">nformation </w:t>
      </w:r>
      <w:r>
        <w:rPr>
          <w:b/>
          <w:bCs/>
        </w:rPr>
        <w:t>s</w:t>
      </w:r>
      <w:r w:rsidRPr="00A11CFC">
        <w:rPr>
          <w:b/>
          <w:bCs/>
        </w:rPr>
        <w:t>haring:</w:t>
      </w:r>
      <w:r>
        <w:t xml:space="preserve"> </w:t>
      </w:r>
      <w:r w:rsidR="00CF0CA8">
        <w:t xml:space="preserve">82% evaluate the transparency in publishing data as appropriate, while 10% believe that it is less than needed. There is a slight improvement </w:t>
      </w:r>
      <w:r>
        <w:t xml:space="preserve">in this regard </w:t>
      </w:r>
      <w:r w:rsidR="00CF0CA8">
        <w:t xml:space="preserve">from last poll (2 points). At the same time, 43% believe that the performance of the government in this regard has improved </w:t>
      </w:r>
      <w:r>
        <w:t>dur</w:t>
      </w:r>
      <w:r w:rsidR="00CF0CA8">
        <w:t>ing the past two weeks</w:t>
      </w:r>
      <w:r w:rsidR="00C23BC9">
        <w:t>,</w:t>
      </w:r>
      <w:r w:rsidR="00CF0CA8">
        <w:t xml:space="preserve"> 48% believe that it stayed the same and 6% </w:t>
      </w:r>
      <w:r w:rsidR="00C23BC9">
        <w:t xml:space="preserve">believe </w:t>
      </w:r>
      <w:r w:rsidR="00CF0CA8">
        <w:t xml:space="preserve">that it declined. </w:t>
      </w:r>
    </w:p>
    <w:p w14:paraId="2E12C135" w14:textId="60D61D42" w:rsidR="00CF0CA8" w:rsidRDefault="00A11CFC" w:rsidP="00715A0D">
      <w:pPr>
        <w:pStyle w:val="ListParagraph"/>
        <w:numPr>
          <w:ilvl w:val="0"/>
          <w:numId w:val="3"/>
        </w:numPr>
        <w:spacing w:line="240" w:lineRule="auto"/>
        <w:jc w:val="both"/>
      </w:pPr>
      <w:r w:rsidRPr="00A11CFC">
        <w:rPr>
          <w:b/>
          <w:bCs/>
        </w:rPr>
        <w:t>Sufficiency of quarantine centers:</w:t>
      </w:r>
      <w:r>
        <w:t xml:space="preserve"> Two thirds consider the availability and quality of quarantine centers as appropriate</w:t>
      </w:r>
      <w:r w:rsidR="00C23BC9">
        <w:t>,</w:t>
      </w:r>
      <w:r>
        <w:t xml:space="preserve"> an 18-point improvement from last poll. About a quarter believe that the availability and quality of quarantine centers is less than needed. </w:t>
      </w:r>
      <w:r w:rsidR="00C23BC9">
        <w:t>On</w:t>
      </w:r>
      <w:r>
        <w:t xml:space="preserve"> this issue, 47%</w:t>
      </w:r>
      <w:r w:rsidR="00715A0D">
        <w:t xml:space="preserve"> notice</w:t>
      </w:r>
      <w:r>
        <w:t xml:space="preserve"> improvement </w:t>
      </w:r>
      <w:r w:rsidR="002107C9">
        <w:t>from two weeks ago</w:t>
      </w:r>
      <w:r w:rsidR="00C23BC9">
        <w:t>,</w:t>
      </w:r>
      <w:r>
        <w:t xml:space="preserve"> 43% believe that nothing has changed and </w:t>
      </w:r>
      <w:r w:rsidR="00C23BC9">
        <w:t xml:space="preserve">only </w:t>
      </w:r>
      <w:r>
        <w:t xml:space="preserve">2% believe that it has declined. </w:t>
      </w:r>
    </w:p>
    <w:p w14:paraId="208AD570" w14:textId="25C88C94" w:rsidR="00A11CFC" w:rsidRDefault="00A11CFC" w:rsidP="00715A0D">
      <w:pPr>
        <w:pStyle w:val="ListParagraph"/>
        <w:numPr>
          <w:ilvl w:val="0"/>
          <w:numId w:val="3"/>
        </w:numPr>
        <w:spacing w:line="240" w:lineRule="auto"/>
        <w:jc w:val="both"/>
      </w:pPr>
      <w:r w:rsidRPr="00A11CFC">
        <w:rPr>
          <w:b/>
          <w:bCs/>
        </w:rPr>
        <w:t>Sufficiency of testing centers:</w:t>
      </w:r>
      <w:r>
        <w:t xml:space="preserve"> 52% consider the availability and quality of testing centers as appropriate</w:t>
      </w:r>
      <w:r w:rsidR="00C23BC9">
        <w:t>,</w:t>
      </w:r>
      <w:r>
        <w:t xml:space="preserve"> </w:t>
      </w:r>
      <w:r w:rsidR="00BC380C">
        <w:t xml:space="preserve">a </w:t>
      </w:r>
      <w:r>
        <w:t>1</w:t>
      </w:r>
      <w:r w:rsidR="00BC380C">
        <w:t>0</w:t>
      </w:r>
      <w:r>
        <w:t xml:space="preserve">-point improvement from </w:t>
      </w:r>
      <w:r w:rsidR="00C23BC9">
        <w:t xml:space="preserve">the </w:t>
      </w:r>
      <w:r>
        <w:t>last poll. A</w:t>
      </w:r>
      <w:r w:rsidR="00BC380C">
        <w:t xml:space="preserve">s much as 40% </w:t>
      </w:r>
      <w:r>
        <w:t xml:space="preserve">believe that the availability and quality of </w:t>
      </w:r>
      <w:r w:rsidR="002107C9">
        <w:t>testing</w:t>
      </w:r>
      <w:r>
        <w:t xml:space="preserve"> centers is less than needed. </w:t>
      </w:r>
      <w:r w:rsidR="00C23BC9">
        <w:t>On</w:t>
      </w:r>
      <w:r>
        <w:t xml:space="preserve"> this issue, 4</w:t>
      </w:r>
      <w:r w:rsidR="002107C9">
        <w:t>6</w:t>
      </w:r>
      <w:r>
        <w:t>%</w:t>
      </w:r>
      <w:r w:rsidR="009152A9">
        <w:t xml:space="preserve"> notice</w:t>
      </w:r>
      <w:r>
        <w:t xml:space="preserve"> improvement </w:t>
      </w:r>
      <w:r w:rsidR="002107C9">
        <w:t>from two weeks ago</w:t>
      </w:r>
      <w:r w:rsidR="00C23BC9">
        <w:t>,</w:t>
      </w:r>
      <w:r>
        <w:t xml:space="preserve"> 4</w:t>
      </w:r>
      <w:r w:rsidR="002107C9">
        <w:t>1</w:t>
      </w:r>
      <w:r>
        <w:t>% believe that nothing has changed and</w:t>
      </w:r>
      <w:r w:rsidR="00C23BC9">
        <w:t xml:space="preserve"> only</w:t>
      </w:r>
      <w:r>
        <w:t xml:space="preserve"> </w:t>
      </w:r>
      <w:r w:rsidR="002107C9">
        <w:t>4</w:t>
      </w:r>
      <w:r>
        <w:t>% believe that it has declined.</w:t>
      </w:r>
    </w:p>
    <w:p w14:paraId="092AF299" w14:textId="521F47E8" w:rsidR="002107C9" w:rsidRDefault="002107C9" w:rsidP="00715A0D">
      <w:pPr>
        <w:pStyle w:val="ListParagraph"/>
        <w:numPr>
          <w:ilvl w:val="0"/>
          <w:numId w:val="3"/>
        </w:numPr>
        <w:spacing w:line="240" w:lineRule="auto"/>
        <w:jc w:val="both"/>
      </w:pPr>
      <w:r w:rsidRPr="002107C9">
        <w:rPr>
          <w:b/>
          <w:bCs/>
        </w:rPr>
        <w:t>Dealing with the issue of workers in Israel and settlements:</w:t>
      </w:r>
      <w:r>
        <w:t xml:space="preserve"> AWRAD’s last poll revealed </w:t>
      </w:r>
      <w:r w:rsidR="009152A9">
        <w:t xml:space="preserve">a </w:t>
      </w:r>
      <w:r>
        <w:t xml:space="preserve">majority discontent with this issue. This poll, however, finds that the largest relative </w:t>
      </w:r>
      <w:r>
        <w:lastRenderedPageBreak/>
        <w:t>improvement made by the government is on this issue. 52% consider the way the government is handling this issue as appropriate</w:t>
      </w:r>
      <w:r w:rsidR="00C23BC9">
        <w:t>,</w:t>
      </w:r>
      <w:r>
        <w:t xml:space="preserve"> a 26-point improvement from last poll. In contrast, 39% believe that it is less than needed. </w:t>
      </w:r>
      <w:r w:rsidR="00C23BC9">
        <w:t>On</w:t>
      </w:r>
      <w:r>
        <w:t xml:space="preserve"> this issue, 46%</w:t>
      </w:r>
      <w:r w:rsidR="009152A9">
        <w:t xml:space="preserve"> notice</w:t>
      </w:r>
      <w:r>
        <w:t xml:space="preserve"> improvement from two weeks ago; 33% believe that nothing has changed and 12% believe that it has declined.</w:t>
      </w:r>
    </w:p>
    <w:p w14:paraId="4FA980F1" w14:textId="151672F0" w:rsidR="002107C9" w:rsidRDefault="00484593" w:rsidP="00451EF3">
      <w:pPr>
        <w:pStyle w:val="ListParagraph"/>
        <w:numPr>
          <w:ilvl w:val="0"/>
          <w:numId w:val="3"/>
        </w:numPr>
        <w:spacing w:line="240" w:lineRule="auto"/>
        <w:jc w:val="both"/>
      </w:pPr>
      <w:r w:rsidRPr="00715A0D">
        <w:rPr>
          <w:b/>
          <w:bCs/>
        </w:rPr>
        <w:t>Finding alternatives to school education (distance education):</w:t>
      </w:r>
      <w:r>
        <w:t xml:space="preserve"> </w:t>
      </w:r>
      <w:r w:rsidR="009152A9">
        <w:t xml:space="preserve">While there is a 17-point improvement in the positive evaluation of this measure, a majority (51%) continues to believe that the actions in this regard are less than needed. In contrast, 36% believe that the measures are appropriate. </w:t>
      </w:r>
      <w:r w:rsidR="00451EF3">
        <w:t xml:space="preserve">On </w:t>
      </w:r>
      <w:r>
        <w:t xml:space="preserve">this issue, </w:t>
      </w:r>
      <w:r w:rsidR="009152A9">
        <w:t>only 20</w:t>
      </w:r>
      <w:r>
        <w:t>%</w:t>
      </w:r>
      <w:r w:rsidR="009152A9">
        <w:t xml:space="preserve"> notice</w:t>
      </w:r>
      <w:r>
        <w:t xml:space="preserve"> improvement from two weeks ago; </w:t>
      </w:r>
      <w:r w:rsidR="00715A0D">
        <w:t>59</w:t>
      </w:r>
      <w:r>
        <w:t>% believe that nothing has changed and 1</w:t>
      </w:r>
      <w:r w:rsidR="00715A0D">
        <w:t>3</w:t>
      </w:r>
      <w:r>
        <w:t>% believe that it has declined.</w:t>
      </w:r>
    </w:p>
    <w:p w14:paraId="34C48195" w14:textId="673228E3" w:rsidR="00CA2D5F" w:rsidRPr="00715A0D" w:rsidRDefault="00715A0D" w:rsidP="00451EF3">
      <w:pPr>
        <w:pStyle w:val="ListParagraph"/>
        <w:numPr>
          <w:ilvl w:val="0"/>
          <w:numId w:val="3"/>
        </w:numPr>
        <w:spacing w:line="240" w:lineRule="auto"/>
        <w:jc w:val="both"/>
      </w:pPr>
      <w:r w:rsidRPr="00715A0D">
        <w:rPr>
          <w:b/>
          <w:bCs/>
        </w:rPr>
        <w:t>Compensation for the unemployed:</w:t>
      </w:r>
      <w:r>
        <w:t xml:space="preserve"> The Palestinian </w:t>
      </w:r>
      <w:r w:rsidR="00C23BC9">
        <w:t>g</w:t>
      </w:r>
      <w:r>
        <w:t xml:space="preserve">overnment continues to face a major challenge in addressing this issue, according to the majority of participants. The poll also reveals a decline in the positive evaluation from our last poll by 10 points (26% to 16% now). As much as 70% believe that the government action is less than needed. </w:t>
      </w:r>
      <w:r w:rsidR="00451EF3">
        <w:t xml:space="preserve">On </w:t>
      </w:r>
      <w:r>
        <w:t>this issue, 17% notice improvement from two weeks ago; 48% believe that nothing has changed and 19% believe that it has declined.</w:t>
      </w:r>
    </w:p>
    <w:tbl>
      <w:tblPr>
        <w:tblStyle w:val="a"/>
        <w:tblW w:w="100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88"/>
        <w:gridCol w:w="2790"/>
        <w:gridCol w:w="900"/>
        <w:gridCol w:w="1260"/>
        <w:gridCol w:w="1440"/>
        <w:gridCol w:w="1350"/>
        <w:gridCol w:w="990"/>
        <w:gridCol w:w="990"/>
      </w:tblGrid>
      <w:tr w:rsidR="00341B20" w14:paraId="33404C35" w14:textId="77777777" w:rsidTr="00451EF3">
        <w:trPr>
          <w:trHeight w:val="485"/>
        </w:trPr>
        <w:tc>
          <w:tcPr>
            <w:tcW w:w="10008" w:type="dxa"/>
            <w:gridSpan w:val="8"/>
            <w:shd w:val="clear" w:color="auto" w:fill="7F7F7F"/>
          </w:tcPr>
          <w:p w14:paraId="6D3F5F84" w14:textId="77777777" w:rsidR="00341B20" w:rsidRDefault="00341B20" w:rsidP="005F3052">
            <w:pPr>
              <w:jc w:val="both"/>
              <w:rPr>
                <w:b/>
              </w:rPr>
            </w:pPr>
            <w:r>
              <w:rPr>
                <w:b/>
                <w:color w:val="FFFFFF"/>
              </w:rPr>
              <w:t xml:space="preserve">Table 1: </w:t>
            </w:r>
            <w:r w:rsidR="005F3052">
              <w:rPr>
                <w:b/>
                <w:color w:val="FFFFFF"/>
              </w:rPr>
              <w:t xml:space="preserve">Evaluation of Measures, Comparison with AWRAD’s Last Poll Results, and Participants’ Perception of Change </w:t>
            </w:r>
            <w:r>
              <w:rPr>
                <w:b/>
                <w:color w:val="FFFFFF"/>
              </w:rPr>
              <w:t xml:space="preserve"> </w:t>
            </w:r>
          </w:p>
        </w:tc>
      </w:tr>
      <w:tr w:rsidR="00341B20" w14:paraId="7A239822" w14:textId="77777777" w:rsidTr="00770593">
        <w:tc>
          <w:tcPr>
            <w:tcW w:w="3078" w:type="dxa"/>
            <w:gridSpan w:val="2"/>
            <w:shd w:val="clear" w:color="auto" w:fill="7F7F7F"/>
          </w:tcPr>
          <w:p w14:paraId="44B84D78" w14:textId="77777777" w:rsidR="00341B20" w:rsidRDefault="00341B20">
            <w:pPr>
              <w:jc w:val="both"/>
              <w:rPr>
                <w:b/>
              </w:rPr>
            </w:pPr>
          </w:p>
        </w:tc>
        <w:tc>
          <w:tcPr>
            <w:tcW w:w="900" w:type="dxa"/>
            <w:shd w:val="clear" w:color="auto" w:fill="F2F2F2"/>
            <w:vAlign w:val="center"/>
          </w:tcPr>
          <w:p w14:paraId="6D80C19E" w14:textId="77777777" w:rsidR="00341B20" w:rsidRPr="005F3052" w:rsidRDefault="00341B20">
            <w:pPr>
              <w:jc w:val="center"/>
              <w:rPr>
                <w:b/>
                <w:sz w:val="18"/>
                <w:szCs w:val="18"/>
              </w:rPr>
            </w:pPr>
            <w:r w:rsidRPr="005F3052">
              <w:rPr>
                <w:b/>
                <w:sz w:val="18"/>
                <w:szCs w:val="18"/>
              </w:rPr>
              <w:t>Less than needed</w:t>
            </w:r>
          </w:p>
        </w:tc>
        <w:tc>
          <w:tcPr>
            <w:tcW w:w="1260" w:type="dxa"/>
            <w:shd w:val="clear" w:color="auto" w:fill="F2F2F2"/>
            <w:vAlign w:val="center"/>
          </w:tcPr>
          <w:p w14:paraId="7F90C01B" w14:textId="77777777" w:rsidR="00341B20" w:rsidRPr="005F3052" w:rsidRDefault="00341B20">
            <w:pPr>
              <w:jc w:val="center"/>
              <w:rPr>
                <w:b/>
                <w:sz w:val="18"/>
                <w:szCs w:val="18"/>
              </w:rPr>
            </w:pPr>
            <w:r w:rsidRPr="005F3052">
              <w:rPr>
                <w:b/>
                <w:sz w:val="18"/>
                <w:szCs w:val="18"/>
              </w:rPr>
              <w:t>Appropriate</w:t>
            </w:r>
          </w:p>
        </w:tc>
        <w:tc>
          <w:tcPr>
            <w:tcW w:w="1440" w:type="dxa"/>
            <w:shd w:val="clear" w:color="auto" w:fill="F2F2F2"/>
            <w:vAlign w:val="center"/>
          </w:tcPr>
          <w:p w14:paraId="6F26D9CC" w14:textId="5B99CF58" w:rsidR="00341B20" w:rsidRPr="005F3052" w:rsidRDefault="0037697B" w:rsidP="005F3052">
            <w:pPr>
              <w:jc w:val="center"/>
              <w:rPr>
                <w:b/>
                <w:sz w:val="18"/>
                <w:szCs w:val="18"/>
              </w:rPr>
            </w:pPr>
            <w:r>
              <w:rPr>
                <w:b/>
                <w:sz w:val="18"/>
                <w:szCs w:val="18"/>
              </w:rPr>
              <w:t>C</w:t>
            </w:r>
            <w:r w:rsidR="005F3052">
              <w:rPr>
                <w:b/>
                <w:sz w:val="18"/>
                <w:szCs w:val="18"/>
              </w:rPr>
              <w:t>hange</w:t>
            </w:r>
            <w:r w:rsidR="00341B20" w:rsidRPr="005F3052">
              <w:rPr>
                <w:b/>
                <w:sz w:val="18"/>
                <w:szCs w:val="18"/>
              </w:rPr>
              <w:t xml:space="preserve"> from last poll</w:t>
            </w:r>
            <w:r>
              <w:rPr>
                <w:b/>
                <w:sz w:val="18"/>
                <w:szCs w:val="18"/>
              </w:rPr>
              <w:t xml:space="preserve"> (percentage points)</w:t>
            </w:r>
          </w:p>
        </w:tc>
        <w:tc>
          <w:tcPr>
            <w:tcW w:w="1350" w:type="dxa"/>
            <w:shd w:val="clear" w:color="auto" w:fill="F2F2F2"/>
            <w:vAlign w:val="center"/>
          </w:tcPr>
          <w:p w14:paraId="407E490A" w14:textId="77777777" w:rsidR="00341B20" w:rsidRPr="005F3052" w:rsidRDefault="00341B20">
            <w:pPr>
              <w:jc w:val="center"/>
              <w:rPr>
                <w:b/>
                <w:sz w:val="18"/>
                <w:szCs w:val="18"/>
              </w:rPr>
            </w:pPr>
            <w:r w:rsidRPr="005F3052">
              <w:rPr>
                <w:b/>
                <w:sz w:val="18"/>
                <w:szCs w:val="18"/>
              </w:rPr>
              <w:t>% perceiving improvement</w:t>
            </w:r>
          </w:p>
        </w:tc>
        <w:tc>
          <w:tcPr>
            <w:tcW w:w="990" w:type="dxa"/>
            <w:shd w:val="clear" w:color="auto" w:fill="F2F2F2"/>
          </w:tcPr>
          <w:p w14:paraId="47C4EE0F" w14:textId="77777777" w:rsidR="00341B20" w:rsidRPr="005F3052" w:rsidRDefault="00341B20">
            <w:pPr>
              <w:jc w:val="center"/>
              <w:rPr>
                <w:b/>
                <w:sz w:val="18"/>
                <w:szCs w:val="18"/>
              </w:rPr>
            </w:pPr>
            <w:r w:rsidRPr="005F3052">
              <w:rPr>
                <w:b/>
                <w:sz w:val="18"/>
                <w:szCs w:val="18"/>
              </w:rPr>
              <w:t>% perceiving no change</w:t>
            </w:r>
          </w:p>
        </w:tc>
        <w:tc>
          <w:tcPr>
            <w:tcW w:w="990" w:type="dxa"/>
            <w:shd w:val="clear" w:color="auto" w:fill="F2F2F2"/>
          </w:tcPr>
          <w:p w14:paraId="68ED7EBA" w14:textId="77777777" w:rsidR="00341B20" w:rsidRPr="005F3052" w:rsidRDefault="00341B20">
            <w:pPr>
              <w:jc w:val="center"/>
              <w:rPr>
                <w:b/>
                <w:sz w:val="18"/>
                <w:szCs w:val="18"/>
              </w:rPr>
            </w:pPr>
            <w:r w:rsidRPr="005F3052">
              <w:rPr>
                <w:b/>
                <w:sz w:val="18"/>
                <w:szCs w:val="18"/>
              </w:rPr>
              <w:t>% perceiving decline</w:t>
            </w:r>
          </w:p>
        </w:tc>
      </w:tr>
      <w:tr w:rsidR="00341B20" w14:paraId="4138C7B6" w14:textId="77777777" w:rsidTr="00770593">
        <w:tc>
          <w:tcPr>
            <w:tcW w:w="288" w:type="dxa"/>
            <w:shd w:val="clear" w:color="auto" w:fill="FFFFFF"/>
          </w:tcPr>
          <w:p w14:paraId="42904624" w14:textId="77777777" w:rsidR="00341B20" w:rsidRDefault="00341B20" w:rsidP="00E65395">
            <w:pPr>
              <w:jc w:val="both"/>
            </w:pPr>
            <w:r>
              <w:t xml:space="preserve">1 </w:t>
            </w:r>
          </w:p>
        </w:tc>
        <w:tc>
          <w:tcPr>
            <w:tcW w:w="2790" w:type="dxa"/>
            <w:shd w:val="clear" w:color="auto" w:fill="FFFFFF"/>
          </w:tcPr>
          <w:p w14:paraId="33DF9B3C" w14:textId="77777777" w:rsidR="00341B20" w:rsidRDefault="00341B20" w:rsidP="00E65395">
            <w:pPr>
              <w:jc w:val="both"/>
            </w:pPr>
            <w:r>
              <w:t>Transparency in publishing data on infection cases</w:t>
            </w:r>
          </w:p>
        </w:tc>
        <w:tc>
          <w:tcPr>
            <w:tcW w:w="900" w:type="dxa"/>
            <w:shd w:val="clear" w:color="auto" w:fill="FFFFFF"/>
          </w:tcPr>
          <w:p w14:paraId="24532391" w14:textId="77777777" w:rsidR="00341B20" w:rsidRDefault="00341B20" w:rsidP="00F57C10">
            <w:pPr>
              <w:jc w:val="right"/>
              <w:rPr>
                <w:rFonts w:ascii="Helvetica" w:hAnsi="Helvetica"/>
                <w:color w:val="333E48"/>
                <w:sz w:val="20"/>
                <w:szCs w:val="20"/>
              </w:rPr>
            </w:pPr>
            <w:r>
              <w:rPr>
                <w:rFonts w:ascii="Helvetica" w:hAnsi="Helvetica"/>
                <w:color w:val="333E48"/>
                <w:sz w:val="20"/>
                <w:szCs w:val="20"/>
              </w:rPr>
              <w:t>10%</w:t>
            </w:r>
          </w:p>
        </w:tc>
        <w:tc>
          <w:tcPr>
            <w:tcW w:w="1260" w:type="dxa"/>
            <w:shd w:val="clear" w:color="auto" w:fill="9BBB59" w:themeFill="accent3"/>
          </w:tcPr>
          <w:p w14:paraId="24883231" w14:textId="77777777" w:rsidR="00341B20" w:rsidRDefault="00341B20" w:rsidP="00E65395">
            <w:pPr>
              <w:jc w:val="right"/>
              <w:rPr>
                <w:rFonts w:ascii="Helvetica" w:hAnsi="Helvetica"/>
                <w:color w:val="333E48"/>
                <w:sz w:val="20"/>
                <w:szCs w:val="20"/>
              </w:rPr>
            </w:pPr>
            <w:r>
              <w:rPr>
                <w:rFonts w:ascii="Helvetica" w:hAnsi="Helvetica"/>
                <w:color w:val="333E48"/>
                <w:sz w:val="20"/>
                <w:szCs w:val="20"/>
              </w:rPr>
              <w:t>82%</w:t>
            </w:r>
          </w:p>
          <w:p w14:paraId="17FA4457" w14:textId="77777777" w:rsidR="00341B20" w:rsidRDefault="00341B20" w:rsidP="00E65395">
            <w:pPr>
              <w:jc w:val="right"/>
              <w:rPr>
                <w:rFonts w:ascii="Helvetica" w:hAnsi="Helvetica"/>
                <w:color w:val="333E48"/>
                <w:sz w:val="20"/>
                <w:szCs w:val="20"/>
              </w:rPr>
            </w:pPr>
          </w:p>
        </w:tc>
        <w:tc>
          <w:tcPr>
            <w:tcW w:w="1440" w:type="dxa"/>
            <w:shd w:val="clear" w:color="auto" w:fill="FFFFFF"/>
          </w:tcPr>
          <w:p w14:paraId="771C7C78" w14:textId="36B44773" w:rsidR="00341B20" w:rsidRDefault="005F3052" w:rsidP="00F57C10">
            <w:pPr>
              <w:jc w:val="right"/>
              <w:rPr>
                <w:rFonts w:ascii="Helvetica" w:hAnsi="Helvetica"/>
                <w:color w:val="333E48"/>
                <w:sz w:val="20"/>
                <w:szCs w:val="20"/>
              </w:rPr>
            </w:pPr>
            <w:r>
              <w:rPr>
                <w:rFonts w:ascii="Helvetica" w:hAnsi="Helvetica"/>
                <w:color w:val="333E48"/>
                <w:sz w:val="20"/>
                <w:szCs w:val="20"/>
              </w:rPr>
              <w:t>+2</w:t>
            </w:r>
          </w:p>
        </w:tc>
        <w:tc>
          <w:tcPr>
            <w:tcW w:w="1350" w:type="dxa"/>
            <w:shd w:val="clear" w:color="auto" w:fill="FFFFFF"/>
          </w:tcPr>
          <w:p w14:paraId="1ADFF0A5" w14:textId="77777777" w:rsidR="00341B20" w:rsidRDefault="005F3052" w:rsidP="00D16AC0">
            <w:pPr>
              <w:jc w:val="right"/>
              <w:rPr>
                <w:rFonts w:ascii="Helvetica" w:hAnsi="Helvetica"/>
                <w:color w:val="333E48"/>
                <w:sz w:val="20"/>
                <w:szCs w:val="20"/>
              </w:rPr>
            </w:pPr>
            <w:r>
              <w:rPr>
                <w:rFonts w:ascii="Helvetica" w:hAnsi="Helvetica"/>
                <w:color w:val="333E48"/>
                <w:sz w:val="20"/>
                <w:szCs w:val="20"/>
              </w:rPr>
              <w:t>43%</w:t>
            </w:r>
          </w:p>
        </w:tc>
        <w:tc>
          <w:tcPr>
            <w:tcW w:w="990" w:type="dxa"/>
            <w:shd w:val="clear" w:color="auto" w:fill="FFFFFF"/>
          </w:tcPr>
          <w:p w14:paraId="1C1FB6E5" w14:textId="77777777" w:rsidR="00341B20" w:rsidRDefault="005F3052" w:rsidP="00D16AC0">
            <w:pPr>
              <w:jc w:val="right"/>
              <w:rPr>
                <w:rFonts w:ascii="Helvetica" w:hAnsi="Helvetica"/>
                <w:color w:val="333E48"/>
                <w:sz w:val="20"/>
                <w:szCs w:val="20"/>
              </w:rPr>
            </w:pPr>
            <w:r>
              <w:rPr>
                <w:rFonts w:ascii="Helvetica" w:hAnsi="Helvetica"/>
                <w:color w:val="333E48"/>
                <w:sz w:val="20"/>
                <w:szCs w:val="20"/>
              </w:rPr>
              <w:t>48%</w:t>
            </w:r>
          </w:p>
        </w:tc>
        <w:tc>
          <w:tcPr>
            <w:tcW w:w="990" w:type="dxa"/>
            <w:shd w:val="clear" w:color="auto" w:fill="FFFFFF"/>
          </w:tcPr>
          <w:p w14:paraId="07B83793" w14:textId="77777777" w:rsidR="00341B20" w:rsidRDefault="005F3052" w:rsidP="00D16AC0">
            <w:pPr>
              <w:jc w:val="right"/>
              <w:rPr>
                <w:rFonts w:ascii="Helvetica" w:hAnsi="Helvetica"/>
                <w:color w:val="333E48"/>
                <w:sz w:val="20"/>
                <w:szCs w:val="20"/>
              </w:rPr>
            </w:pPr>
            <w:r>
              <w:rPr>
                <w:rFonts w:ascii="Helvetica" w:hAnsi="Helvetica"/>
                <w:color w:val="333E48"/>
                <w:sz w:val="20"/>
                <w:szCs w:val="20"/>
              </w:rPr>
              <w:t>6%</w:t>
            </w:r>
          </w:p>
        </w:tc>
      </w:tr>
      <w:tr w:rsidR="00341B20" w14:paraId="04557969" w14:textId="77777777" w:rsidTr="00770593">
        <w:tc>
          <w:tcPr>
            <w:tcW w:w="288" w:type="dxa"/>
            <w:shd w:val="clear" w:color="auto" w:fill="FFFFFF"/>
          </w:tcPr>
          <w:p w14:paraId="3A526BA2" w14:textId="77777777" w:rsidR="00341B20" w:rsidRDefault="00341B20">
            <w:pPr>
              <w:jc w:val="both"/>
            </w:pPr>
            <w:r>
              <w:t>2</w:t>
            </w:r>
          </w:p>
        </w:tc>
        <w:tc>
          <w:tcPr>
            <w:tcW w:w="2790" w:type="dxa"/>
            <w:shd w:val="clear" w:color="auto" w:fill="FFFFFF"/>
          </w:tcPr>
          <w:p w14:paraId="06F7E984" w14:textId="77777777" w:rsidR="00341B20" w:rsidRDefault="00341B20" w:rsidP="00E65395">
            <w:pPr>
              <w:jc w:val="both"/>
            </w:pPr>
            <w:r>
              <w:t>Sufficiency (availability and quality) of quarantine centers</w:t>
            </w:r>
          </w:p>
        </w:tc>
        <w:tc>
          <w:tcPr>
            <w:tcW w:w="900" w:type="dxa"/>
            <w:shd w:val="clear" w:color="auto" w:fill="FFFFFF"/>
          </w:tcPr>
          <w:p w14:paraId="6FC62140" w14:textId="77777777" w:rsidR="00341B20" w:rsidRDefault="00341B20" w:rsidP="00D16AC0">
            <w:pPr>
              <w:jc w:val="right"/>
              <w:rPr>
                <w:rFonts w:ascii="Helvetica" w:hAnsi="Helvetica"/>
                <w:color w:val="333E48"/>
                <w:sz w:val="20"/>
                <w:szCs w:val="20"/>
              </w:rPr>
            </w:pPr>
            <w:r>
              <w:rPr>
                <w:rFonts w:ascii="Helvetica" w:hAnsi="Helvetica"/>
                <w:color w:val="333E48"/>
                <w:sz w:val="20"/>
                <w:szCs w:val="20"/>
              </w:rPr>
              <w:t>26%</w:t>
            </w:r>
          </w:p>
          <w:p w14:paraId="1EF68C36" w14:textId="77777777" w:rsidR="00341B20" w:rsidRDefault="00341B20" w:rsidP="00E65395">
            <w:pPr>
              <w:jc w:val="right"/>
              <w:rPr>
                <w:rFonts w:ascii="Helvetica" w:hAnsi="Helvetica"/>
                <w:color w:val="333E48"/>
                <w:sz w:val="20"/>
                <w:szCs w:val="20"/>
              </w:rPr>
            </w:pPr>
          </w:p>
        </w:tc>
        <w:tc>
          <w:tcPr>
            <w:tcW w:w="1260" w:type="dxa"/>
            <w:shd w:val="clear" w:color="auto" w:fill="9BBB59" w:themeFill="accent3"/>
          </w:tcPr>
          <w:p w14:paraId="736DC61C" w14:textId="77777777" w:rsidR="00341B20" w:rsidRDefault="00341B20" w:rsidP="00E65395">
            <w:pPr>
              <w:jc w:val="right"/>
              <w:rPr>
                <w:rFonts w:ascii="Helvetica" w:hAnsi="Helvetica"/>
                <w:color w:val="333E48"/>
                <w:sz w:val="20"/>
                <w:szCs w:val="20"/>
              </w:rPr>
            </w:pPr>
            <w:r>
              <w:rPr>
                <w:rFonts w:ascii="Helvetica" w:hAnsi="Helvetica"/>
                <w:color w:val="333E48"/>
                <w:sz w:val="20"/>
                <w:szCs w:val="20"/>
              </w:rPr>
              <w:t>66%</w:t>
            </w:r>
          </w:p>
          <w:p w14:paraId="55561FD9" w14:textId="77777777" w:rsidR="00341B20" w:rsidRDefault="00341B20" w:rsidP="00E65395">
            <w:pPr>
              <w:jc w:val="right"/>
              <w:rPr>
                <w:rFonts w:ascii="Helvetica" w:hAnsi="Helvetica"/>
                <w:color w:val="333E48"/>
                <w:sz w:val="20"/>
                <w:szCs w:val="20"/>
              </w:rPr>
            </w:pPr>
          </w:p>
        </w:tc>
        <w:tc>
          <w:tcPr>
            <w:tcW w:w="1440" w:type="dxa"/>
            <w:shd w:val="clear" w:color="auto" w:fill="FFFFFF"/>
          </w:tcPr>
          <w:p w14:paraId="6410B573" w14:textId="3D25D082" w:rsidR="00341B20" w:rsidRDefault="005F3052" w:rsidP="00E65395">
            <w:pPr>
              <w:jc w:val="right"/>
              <w:rPr>
                <w:rFonts w:ascii="Helvetica" w:hAnsi="Helvetica"/>
                <w:color w:val="333E48"/>
                <w:sz w:val="20"/>
                <w:szCs w:val="20"/>
              </w:rPr>
            </w:pPr>
            <w:r>
              <w:rPr>
                <w:rFonts w:ascii="Helvetica" w:hAnsi="Helvetica"/>
                <w:color w:val="333E48"/>
                <w:sz w:val="20"/>
                <w:szCs w:val="20"/>
              </w:rPr>
              <w:t>+18</w:t>
            </w:r>
          </w:p>
        </w:tc>
        <w:tc>
          <w:tcPr>
            <w:tcW w:w="1350" w:type="dxa"/>
            <w:shd w:val="clear" w:color="auto" w:fill="FFFFFF"/>
          </w:tcPr>
          <w:p w14:paraId="700DF303" w14:textId="77777777" w:rsidR="00341B20" w:rsidRDefault="005F3052" w:rsidP="00E65395">
            <w:pPr>
              <w:jc w:val="right"/>
              <w:rPr>
                <w:rFonts w:ascii="Helvetica" w:hAnsi="Helvetica"/>
                <w:color w:val="333E48"/>
                <w:sz w:val="20"/>
                <w:szCs w:val="20"/>
              </w:rPr>
            </w:pPr>
            <w:r>
              <w:rPr>
                <w:rFonts w:ascii="Helvetica" w:hAnsi="Helvetica"/>
                <w:color w:val="333E48"/>
                <w:sz w:val="20"/>
                <w:szCs w:val="20"/>
              </w:rPr>
              <w:t>47%</w:t>
            </w:r>
          </w:p>
        </w:tc>
        <w:tc>
          <w:tcPr>
            <w:tcW w:w="990" w:type="dxa"/>
            <w:shd w:val="clear" w:color="auto" w:fill="FFFFFF"/>
          </w:tcPr>
          <w:p w14:paraId="6230AC0E"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43%</w:t>
            </w:r>
          </w:p>
        </w:tc>
        <w:tc>
          <w:tcPr>
            <w:tcW w:w="990" w:type="dxa"/>
            <w:shd w:val="clear" w:color="auto" w:fill="FFFFFF"/>
          </w:tcPr>
          <w:p w14:paraId="00457992"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2%</w:t>
            </w:r>
          </w:p>
        </w:tc>
      </w:tr>
      <w:tr w:rsidR="00341B20" w14:paraId="19BC8382" w14:textId="77777777" w:rsidTr="00770593">
        <w:tc>
          <w:tcPr>
            <w:tcW w:w="288" w:type="dxa"/>
            <w:shd w:val="clear" w:color="auto" w:fill="FFFFFF"/>
          </w:tcPr>
          <w:p w14:paraId="5E1F5A6E" w14:textId="77777777" w:rsidR="00341B20" w:rsidRDefault="00341B20">
            <w:pPr>
              <w:jc w:val="both"/>
            </w:pPr>
            <w:r>
              <w:t>3</w:t>
            </w:r>
          </w:p>
        </w:tc>
        <w:tc>
          <w:tcPr>
            <w:tcW w:w="2790" w:type="dxa"/>
            <w:shd w:val="clear" w:color="auto" w:fill="FFFFFF"/>
          </w:tcPr>
          <w:p w14:paraId="73DD1964" w14:textId="77777777" w:rsidR="00341B20" w:rsidRDefault="00341B20" w:rsidP="00A11CFC">
            <w:pPr>
              <w:jc w:val="both"/>
            </w:pPr>
            <w:r>
              <w:t xml:space="preserve">Sufficiency (availability and quality) of </w:t>
            </w:r>
            <w:r w:rsidR="00A11CFC">
              <w:t>testing</w:t>
            </w:r>
            <w:r>
              <w:t xml:space="preserve"> centers</w:t>
            </w:r>
          </w:p>
        </w:tc>
        <w:tc>
          <w:tcPr>
            <w:tcW w:w="900" w:type="dxa"/>
            <w:shd w:val="clear" w:color="auto" w:fill="BFBFBF" w:themeFill="background1" w:themeFillShade="BF"/>
          </w:tcPr>
          <w:p w14:paraId="04240CD0" w14:textId="77777777" w:rsidR="00341B20" w:rsidRDefault="00341B20" w:rsidP="00E65395">
            <w:pPr>
              <w:jc w:val="right"/>
              <w:rPr>
                <w:rFonts w:ascii="Helvetica" w:hAnsi="Helvetica"/>
                <w:color w:val="333E48"/>
                <w:sz w:val="20"/>
                <w:szCs w:val="20"/>
              </w:rPr>
            </w:pPr>
            <w:r>
              <w:rPr>
                <w:rFonts w:ascii="Helvetica" w:hAnsi="Helvetica"/>
                <w:color w:val="333E48"/>
                <w:sz w:val="20"/>
                <w:szCs w:val="20"/>
              </w:rPr>
              <w:t>40%</w:t>
            </w:r>
          </w:p>
          <w:p w14:paraId="760C4839" w14:textId="77777777" w:rsidR="00341B20" w:rsidRDefault="00341B20" w:rsidP="00E65395">
            <w:pPr>
              <w:jc w:val="right"/>
              <w:rPr>
                <w:rFonts w:ascii="Helvetica" w:hAnsi="Helvetica"/>
                <w:color w:val="333E48"/>
                <w:sz w:val="20"/>
                <w:szCs w:val="20"/>
              </w:rPr>
            </w:pPr>
          </w:p>
        </w:tc>
        <w:tc>
          <w:tcPr>
            <w:tcW w:w="1260" w:type="dxa"/>
            <w:shd w:val="clear" w:color="auto" w:fill="BFBFBF" w:themeFill="background1" w:themeFillShade="BF"/>
          </w:tcPr>
          <w:p w14:paraId="503BA98B" w14:textId="77777777" w:rsidR="00341B20" w:rsidRDefault="00341B20" w:rsidP="00E65395">
            <w:pPr>
              <w:jc w:val="right"/>
              <w:rPr>
                <w:rFonts w:ascii="Helvetica" w:hAnsi="Helvetica"/>
                <w:color w:val="333E48"/>
                <w:sz w:val="20"/>
                <w:szCs w:val="20"/>
              </w:rPr>
            </w:pPr>
            <w:r>
              <w:rPr>
                <w:rFonts w:ascii="Helvetica" w:hAnsi="Helvetica"/>
                <w:color w:val="333E48"/>
                <w:sz w:val="20"/>
                <w:szCs w:val="20"/>
              </w:rPr>
              <w:t>52%</w:t>
            </w:r>
          </w:p>
          <w:p w14:paraId="1BE416A2" w14:textId="77777777" w:rsidR="00341B20" w:rsidRDefault="00341B20" w:rsidP="00E65395">
            <w:pPr>
              <w:jc w:val="right"/>
              <w:rPr>
                <w:rFonts w:ascii="Helvetica" w:hAnsi="Helvetica"/>
                <w:color w:val="333E48"/>
                <w:sz w:val="20"/>
                <w:szCs w:val="20"/>
              </w:rPr>
            </w:pPr>
          </w:p>
        </w:tc>
        <w:tc>
          <w:tcPr>
            <w:tcW w:w="1440" w:type="dxa"/>
            <w:shd w:val="clear" w:color="auto" w:fill="FFFFFF"/>
          </w:tcPr>
          <w:p w14:paraId="1845163A" w14:textId="6EBCDADF" w:rsidR="00341B20" w:rsidRDefault="005F3052" w:rsidP="00E65395">
            <w:pPr>
              <w:jc w:val="right"/>
              <w:rPr>
                <w:rFonts w:ascii="Helvetica" w:hAnsi="Helvetica"/>
                <w:color w:val="333E48"/>
                <w:sz w:val="20"/>
                <w:szCs w:val="20"/>
              </w:rPr>
            </w:pPr>
            <w:r>
              <w:rPr>
                <w:rFonts w:ascii="Helvetica" w:hAnsi="Helvetica"/>
                <w:color w:val="333E48"/>
                <w:sz w:val="20"/>
                <w:szCs w:val="20"/>
              </w:rPr>
              <w:t>+10</w:t>
            </w:r>
          </w:p>
        </w:tc>
        <w:tc>
          <w:tcPr>
            <w:tcW w:w="1350" w:type="dxa"/>
            <w:shd w:val="clear" w:color="auto" w:fill="FFFFFF"/>
          </w:tcPr>
          <w:p w14:paraId="2D726C97"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46%</w:t>
            </w:r>
          </w:p>
        </w:tc>
        <w:tc>
          <w:tcPr>
            <w:tcW w:w="990" w:type="dxa"/>
            <w:shd w:val="clear" w:color="auto" w:fill="FFFFFF"/>
          </w:tcPr>
          <w:p w14:paraId="19BC9534"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41%</w:t>
            </w:r>
          </w:p>
        </w:tc>
        <w:tc>
          <w:tcPr>
            <w:tcW w:w="990" w:type="dxa"/>
            <w:shd w:val="clear" w:color="auto" w:fill="FFFFFF"/>
          </w:tcPr>
          <w:p w14:paraId="72B4B624"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w:t>
            </w:r>
          </w:p>
        </w:tc>
      </w:tr>
      <w:tr w:rsidR="00341B20" w14:paraId="7E5EE642" w14:textId="77777777" w:rsidTr="00770593">
        <w:tc>
          <w:tcPr>
            <w:tcW w:w="288" w:type="dxa"/>
            <w:shd w:val="clear" w:color="auto" w:fill="FFFFFF"/>
          </w:tcPr>
          <w:p w14:paraId="700DD296" w14:textId="77777777" w:rsidR="00341B20" w:rsidRDefault="00341B20" w:rsidP="00E65395">
            <w:pPr>
              <w:jc w:val="both"/>
            </w:pPr>
            <w:r>
              <w:t xml:space="preserve">4 </w:t>
            </w:r>
          </w:p>
        </w:tc>
        <w:tc>
          <w:tcPr>
            <w:tcW w:w="2790" w:type="dxa"/>
            <w:shd w:val="clear" w:color="auto" w:fill="FFFFFF"/>
          </w:tcPr>
          <w:p w14:paraId="5D54C5D1" w14:textId="77777777" w:rsidR="00341B20" w:rsidRDefault="00341B20" w:rsidP="00E65395">
            <w:pPr>
              <w:jc w:val="both"/>
            </w:pPr>
            <w:r>
              <w:t>Dealing with the issue of workers in Israel and settlements</w:t>
            </w:r>
          </w:p>
        </w:tc>
        <w:tc>
          <w:tcPr>
            <w:tcW w:w="900" w:type="dxa"/>
            <w:shd w:val="clear" w:color="auto" w:fill="BFBFBF" w:themeFill="background1" w:themeFillShade="BF"/>
          </w:tcPr>
          <w:p w14:paraId="1835D08C" w14:textId="77777777" w:rsidR="00341B20" w:rsidRDefault="00341B20" w:rsidP="00D16AC0">
            <w:pPr>
              <w:jc w:val="right"/>
              <w:rPr>
                <w:rFonts w:ascii="Helvetica" w:hAnsi="Helvetica"/>
                <w:color w:val="333E48"/>
                <w:sz w:val="20"/>
                <w:szCs w:val="20"/>
              </w:rPr>
            </w:pPr>
            <w:r>
              <w:rPr>
                <w:rFonts w:ascii="Helvetica" w:hAnsi="Helvetica"/>
                <w:color w:val="333E48"/>
                <w:sz w:val="20"/>
                <w:szCs w:val="20"/>
              </w:rPr>
              <w:t>39%</w:t>
            </w:r>
          </w:p>
          <w:p w14:paraId="638E5ABB" w14:textId="77777777" w:rsidR="00341B20" w:rsidRDefault="00341B20" w:rsidP="00E65395">
            <w:pPr>
              <w:jc w:val="right"/>
              <w:rPr>
                <w:rFonts w:ascii="Helvetica" w:hAnsi="Helvetica"/>
                <w:color w:val="333E48"/>
                <w:sz w:val="20"/>
                <w:szCs w:val="20"/>
              </w:rPr>
            </w:pPr>
          </w:p>
        </w:tc>
        <w:tc>
          <w:tcPr>
            <w:tcW w:w="1260" w:type="dxa"/>
            <w:shd w:val="clear" w:color="auto" w:fill="BFBFBF" w:themeFill="background1" w:themeFillShade="BF"/>
          </w:tcPr>
          <w:p w14:paraId="673BA9E6" w14:textId="77777777" w:rsidR="00341B20" w:rsidRDefault="00341B20" w:rsidP="00E65395">
            <w:pPr>
              <w:jc w:val="right"/>
              <w:rPr>
                <w:rFonts w:ascii="Helvetica" w:hAnsi="Helvetica"/>
                <w:color w:val="333E48"/>
                <w:sz w:val="20"/>
                <w:szCs w:val="20"/>
              </w:rPr>
            </w:pPr>
            <w:r>
              <w:rPr>
                <w:rFonts w:ascii="Helvetica" w:hAnsi="Helvetica"/>
                <w:color w:val="333E48"/>
                <w:sz w:val="20"/>
                <w:szCs w:val="20"/>
              </w:rPr>
              <w:t>52%</w:t>
            </w:r>
          </w:p>
          <w:p w14:paraId="76F1C0F5" w14:textId="77777777" w:rsidR="00341B20" w:rsidRDefault="00341B20" w:rsidP="00E65395">
            <w:pPr>
              <w:jc w:val="right"/>
              <w:rPr>
                <w:rFonts w:ascii="Helvetica" w:hAnsi="Helvetica"/>
                <w:color w:val="333E48"/>
                <w:sz w:val="20"/>
                <w:szCs w:val="20"/>
              </w:rPr>
            </w:pPr>
          </w:p>
        </w:tc>
        <w:tc>
          <w:tcPr>
            <w:tcW w:w="1440" w:type="dxa"/>
            <w:shd w:val="clear" w:color="auto" w:fill="FFFFFF"/>
          </w:tcPr>
          <w:p w14:paraId="33846021" w14:textId="5E25A06F" w:rsidR="00341B20" w:rsidRDefault="005F3052" w:rsidP="00E65395">
            <w:pPr>
              <w:jc w:val="right"/>
              <w:rPr>
                <w:rFonts w:ascii="Helvetica" w:hAnsi="Helvetica"/>
                <w:color w:val="333E48"/>
                <w:sz w:val="20"/>
                <w:szCs w:val="20"/>
              </w:rPr>
            </w:pPr>
            <w:r>
              <w:rPr>
                <w:rFonts w:ascii="Helvetica" w:hAnsi="Helvetica"/>
                <w:color w:val="333E48"/>
                <w:sz w:val="20"/>
                <w:szCs w:val="20"/>
              </w:rPr>
              <w:t>+26</w:t>
            </w:r>
          </w:p>
        </w:tc>
        <w:tc>
          <w:tcPr>
            <w:tcW w:w="1350" w:type="dxa"/>
            <w:shd w:val="clear" w:color="auto" w:fill="FFFFFF"/>
          </w:tcPr>
          <w:p w14:paraId="7868A5D4"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46%</w:t>
            </w:r>
          </w:p>
        </w:tc>
        <w:tc>
          <w:tcPr>
            <w:tcW w:w="990" w:type="dxa"/>
            <w:shd w:val="clear" w:color="auto" w:fill="FFFFFF"/>
          </w:tcPr>
          <w:p w14:paraId="61AEC008"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33%</w:t>
            </w:r>
          </w:p>
        </w:tc>
        <w:tc>
          <w:tcPr>
            <w:tcW w:w="990" w:type="dxa"/>
            <w:shd w:val="clear" w:color="auto" w:fill="FFFFFF"/>
          </w:tcPr>
          <w:p w14:paraId="0809E33A"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12%</w:t>
            </w:r>
          </w:p>
        </w:tc>
      </w:tr>
      <w:tr w:rsidR="00341B20" w14:paraId="6A2051A5" w14:textId="77777777" w:rsidTr="00770593">
        <w:tc>
          <w:tcPr>
            <w:tcW w:w="288" w:type="dxa"/>
            <w:shd w:val="clear" w:color="auto" w:fill="FFFFFF"/>
          </w:tcPr>
          <w:p w14:paraId="19B4690A" w14:textId="77777777" w:rsidR="00341B20" w:rsidRDefault="00341B20">
            <w:pPr>
              <w:jc w:val="both"/>
            </w:pPr>
            <w:r>
              <w:t xml:space="preserve">5 </w:t>
            </w:r>
          </w:p>
        </w:tc>
        <w:tc>
          <w:tcPr>
            <w:tcW w:w="2790" w:type="dxa"/>
            <w:shd w:val="clear" w:color="auto" w:fill="FFFFFF"/>
          </w:tcPr>
          <w:p w14:paraId="392E703C" w14:textId="77777777" w:rsidR="00341B20" w:rsidRDefault="00341B20" w:rsidP="00E65395">
            <w:pPr>
              <w:jc w:val="both"/>
            </w:pPr>
            <w:r>
              <w:t>Finding alternatives to school education (distance education)</w:t>
            </w:r>
          </w:p>
        </w:tc>
        <w:tc>
          <w:tcPr>
            <w:tcW w:w="900" w:type="dxa"/>
            <w:shd w:val="clear" w:color="auto" w:fill="FF0000"/>
          </w:tcPr>
          <w:p w14:paraId="45949233" w14:textId="77777777" w:rsidR="00341B20" w:rsidRPr="00D16AC0" w:rsidRDefault="00341B20">
            <w:pPr>
              <w:jc w:val="right"/>
              <w:divId w:val="1520117498"/>
              <w:rPr>
                <w:rFonts w:ascii="Helvetica" w:hAnsi="Helvetica"/>
                <w:b/>
                <w:bCs/>
                <w:color w:val="333E48"/>
                <w:sz w:val="20"/>
                <w:szCs w:val="20"/>
              </w:rPr>
            </w:pPr>
            <w:r w:rsidRPr="00D16AC0">
              <w:rPr>
                <w:rFonts w:ascii="Helvetica" w:hAnsi="Helvetica"/>
                <w:b/>
                <w:bCs/>
                <w:color w:val="333E48"/>
                <w:sz w:val="20"/>
                <w:szCs w:val="20"/>
              </w:rPr>
              <w:t>51%</w:t>
            </w:r>
          </w:p>
          <w:p w14:paraId="6FB997A6" w14:textId="77777777" w:rsidR="00341B20" w:rsidRPr="00D16AC0" w:rsidRDefault="00341B20">
            <w:pPr>
              <w:jc w:val="right"/>
              <w:divId w:val="1175926311"/>
              <w:rPr>
                <w:rFonts w:ascii="Helvetica" w:hAnsi="Helvetica"/>
                <w:b/>
                <w:bCs/>
                <w:color w:val="333E48"/>
                <w:sz w:val="20"/>
                <w:szCs w:val="20"/>
              </w:rPr>
            </w:pPr>
          </w:p>
        </w:tc>
        <w:tc>
          <w:tcPr>
            <w:tcW w:w="1260" w:type="dxa"/>
            <w:shd w:val="clear" w:color="auto" w:fill="FFFFFF"/>
          </w:tcPr>
          <w:p w14:paraId="3DFBB570" w14:textId="77777777" w:rsidR="00341B20" w:rsidRDefault="00341B20" w:rsidP="00D16AC0">
            <w:pPr>
              <w:jc w:val="right"/>
              <w:divId w:val="394357504"/>
              <w:rPr>
                <w:rFonts w:ascii="Helvetica" w:hAnsi="Helvetica"/>
                <w:color w:val="333E48"/>
                <w:sz w:val="20"/>
                <w:szCs w:val="20"/>
              </w:rPr>
            </w:pPr>
            <w:r>
              <w:rPr>
                <w:rFonts w:ascii="Helvetica" w:hAnsi="Helvetica"/>
                <w:color w:val="333E48"/>
                <w:sz w:val="20"/>
                <w:szCs w:val="20"/>
              </w:rPr>
              <w:t>36%</w:t>
            </w:r>
          </w:p>
          <w:p w14:paraId="7C6C6685" w14:textId="77777777" w:rsidR="00341B20" w:rsidRDefault="00341B20">
            <w:pPr>
              <w:jc w:val="right"/>
              <w:divId w:val="169033436"/>
              <w:rPr>
                <w:rFonts w:ascii="Helvetica" w:hAnsi="Helvetica"/>
                <w:color w:val="333E48"/>
                <w:sz w:val="20"/>
                <w:szCs w:val="20"/>
              </w:rPr>
            </w:pPr>
          </w:p>
        </w:tc>
        <w:tc>
          <w:tcPr>
            <w:tcW w:w="1440" w:type="dxa"/>
            <w:shd w:val="clear" w:color="auto" w:fill="FFFFFF"/>
          </w:tcPr>
          <w:p w14:paraId="65A5FE8A" w14:textId="6488B317" w:rsidR="00341B20" w:rsidRDefault="005F3052">
            <w:pPr>
              <w:jc w:val="right"/>
              <w:divId w:val="1335231644"/>
              <w:rPr>
                <w:rFonts w:ascii="Helvetica" w:hAnsi="Helvetica"/>
                <w:color w:val="333E48"/>
                <w:sz w:val="20"/>
                <w:szCs w:val="20"/>
              </w:rPr>
            </w:pPr>
            <w:r>
              <w:rPr>
                <w:rFonts w:ascii="Helvetica" w:hAnsi="Helvetica"/>
                <w:color w:val="333E48"/>
                <w:sz w:val="20"/>
                <w:szCs w:val="20"/>
              </w:rPr>
              <w:t>+17</w:t>
            </w:r>
          </w:p>
        </w:tc>
        <w:tc>
          <w:tcPr>
            <w:tcW w:w="1350" w:type="dxa"/>
            <w:shd w:val="clear" w:color="auto" w:fill="FFFFFF"/>
          </w:tcPr>
          <w:p w14:paraId="2C22E8A6" w14:textId="77777777" w:rsidR="00341B20" w:rsidRDefault="00CF0CA8" w:rsidP="00D16AC0">
            <w:pPr>
              <w:jc w:val="right"/>
              <w:divId w:val="1548226271"/>
              <w:rPr>
                <w:rFonts w:ascii="Helvetica" w:hAnsi="Helvetica"/>
                <w:color w:val="333E48"/>
                <w:sz w:val="20"/>
                <w:szCs w:val="20"/>
              </w:rPr>
            </w:pPr>
            <w:r>
              <w:rPr>
                <w:rFonts w:ascii="Helvetica" w:hAnsi="Helvetica"/>
                <w:color w:val="333E48"/>
                <w:sz w:val="20"/>
                <w:szCs w:val="20"/>
              </w:rPr>
              <w:t>20%</w:t>
            </w:r>
          </w:p>
        </w:tc>
        <w:tc>
          <w:tcPr>
            <w:tcW w:w="990" w:type="dxa"/>
            <w:shd w:val="clear" w:color="auto" w:fill="FFFFFF"/>
          </w:tcPr>
          <w:p w14:paraId="5243ED17" w14:textId="77777777" w:rsidR="00341B20" w:rsidRDefault="00CF0CA8" w:rsidP="00D16AC0">
            <w:pPr>
              <w:jc w:val="right"/>
              <w:rPr>
                <w:rFonts w:ascii="Helvetica" w:hAnsi="Helvetica"/>
                <w:color w:val="333E48"/>
                <w:sz w:val="20"/>
                <w:szCs w:val="20"/>
              </w:rPr>
            </w:pPr>
            <w:r>
              <w:rPr>
                <w:rFonts w:ascii="Helvetica" w:hAnsi="Helvetica"/>
                <w:color w:val="333E48"/>
                <w:sz w:val="20"/>
                <w:szCs w:val="20"/>
              </w:rPr>
              <w:t>59%</w:t>
            </w:r>
          </w:p>
        </w:tc>
        <w:tc>
          <w:tcPr>
            <w:tcW w:w="990" w:type="dxa"/>
            <w:shd w:val="clear" w:color="auto" w:fill="FFFFFF"/>
          </w:tcPr>
          <w:p w14:paraId="12EB5B75" w14:textId="77777777" w:rsidR="00341B20" w:rsidRDefault="00CF0CA8" w:rsidP="00D16AC0">
            <w:pPr>
              <w:jc w:val="right"/>
              <w:rPr>
                <w:rFonts w:ascii="Helvetica" w:hAnsi="Helvetica"/>
                <w:color w:val="333E48"/>
                <w:sz w:val="20"/>
                <w:szCs w:val="20"/>
              </w:rPr>
            </w:pPr>
            <w:r>
              <w:rPr>
                <w:rFonts w:ascii="Helvetica" w:hAnsi="Helvetica"/>
                <w:color w:val="333E48"/>
                <w:sz w:val="20"/>
                <w:szCs w:val="20"/>
              </w:rPr>
              <w:t>13%</w:t>
            </w:r>
          </w:p>
        </w:tc>
      </w:tr>
      <w:tr w:rsidR="00341B20" w14:paraId="1DB42E72" w14:textId="77777777" w:rsidTr="00770593">
        <w:tc>
          <w:tcPr>
            <w:tcW w:w="288" w:type="dxa"/>
            <w:shd w:val="clear" w:color="auto" w:fill="FFFFFF"/>
          </w:tcPr>
          <w:p w14:paraId="74E92558" w14:textId="77777777" w:rsidR="00341B20" w:rsidRDefault="00341B20">
            <w:pPr>
              <w:jc w:val="both"/>
            </w:pPr>
            <w:r>
              <w:t xml:space="preserve">6 </w:t>
            </w:r>
          </w:p>
        </w:tc>
        <w:tc>
          <w:tcPr>
            <w:tcW w:w="2790" w:type="dxa"/>
            <w:shd w:val="clear" w:color="auto" w:fill="FFFFFF"/>
          </w:tcPr>
          <w:p w14:paraId="2F4A8B38" w14:textId="77777777" w:rsidR="00341B20" w:rsidRDefault="00341B20" w:rsidP="00E65395">
            <w:pPr>
              <w:jc w:val="both"/>
            </w:pPr>
            <w:r>
              <w:t>Compensation for the unemployed</w:t>
            </w:r>
          </w:p>
        </w:tc>
        <w:tc>
          <w:tcPr>
            <w:tcW w:w="900" w:type="dxa"/>
            <w:shd w:val="clear" w:color="auto" w:fill="FF0000"/>
          </w:tcPr>
          <w:p w14:paraId="59CBACB3" w14:textId="77777777" w:rsidR="00341B20" w:rsidRPr="00D16AC0" w:rsidRDefault="00341B20" w:rsidP="00D16AC0">
            <w:pPr>
              <w:jc w:val="right"/>
              <w:rPr>
                <w:rFonts w:ascii="Helvetica" w:hAnsi="Helvetica"/>
                <w:b/>
                <w:bCs/>
                <w:color w:val="333E48"/>
                <w:sz w:val="20"/>
                <w:szCs w:val="20"/>
              </w:rPr>
            </w:pPr>
            <w:r w:rsidRPr="00D16AC0">
              <w:rPr>
                <w:rFonts w:ascii="Helvetica" w:hAnsi="Helvetica"/>
                <w:b/>
                <w:bCs/>
                <w:color w:val="333E48"/>
                <w:sz w:val="20"/>
                <w:szCs w:val="20"/>
              </w:rPr>
              <w:t>70%</w:t>
            </w:r>
          </w:p>
          <w:p w14:paraId="75AD2232" w14:textId="77777777" w:rsidR="00341B20" w:rsidRPr="00D16AC0" w:rsidRDefault="00341B20" w:rsidP="00E65395">
            <w:pPr>
              <w:jc w:val="right"/>
              <w:rPr>
                <w:rFonts w:ascii="Helvetica" w:hAnsi="Helvetica"/>
                <w:b/>
                <w:bCs/>
                <w:color w:val="333E48"/>
                <w:sz w:val="20"/>
                <w:szCs w:val="20"/>
              </w:rPr>
            </w:pPr>
          </w:p>
        </w:tc>
        <w:tc>
          <w:tcPr>
            <w:tcW w:w="1260" w:type="dxa"/>
            <w:shd w:val="clear" w:color="auto" w:fill="FFFFFF"/>
          </w:tcPr>
          <w:p w14:paraId="0E05C9D5" w14:textId="77777777" w:rsidR="00341B20" w:rsidRDefault="00341B20" w:rsidP="00D16AC0">
            <w:pPr>
              <w:jc w:val="right"/>
              <w:rPr>
                <w:rFonts w:ascii="Helvetica" w:hAnsi="Helvetica"/>
                <w:color w:val="333E48"/>
                <w:sz w:val="20"/>
                <w:szCs w:val="20"/>
              </w:rPr>
            </w:pPr>
            <w:r>
              <w:rPr>
                <w:rFonts w:ascii="Helvetica" w:hAnsi="Helvetica"/>
                <w:color w:val="333E48"/>
                <w:sz w:val="20"/>
                <w:szCs w:val="20"/>
              </w:rPr>
              <w:t>16%</w:t>
            </w:r>
          </w:p>
          <w:p w14:paraId="0F1CB8FD" w14:textId="77777777" w:rsidR="00341B20" w:rsidRDefault="00341B20" w:rsidP="00E65395">
            <w:pPr>
              <w:jc w:val="right"/>
              <w:rPr>
                <w:rFonts w:ascii="Helvetica" w:hAnsi="Helvetica"/>
                <w:color w:val="333E48"/>
                <w:sz w:val="20"/>
                <w:szCs w:val="20"/>
              </w:rPr>
            </w:pPr>
          </w:p>
        </w:tc>
        <w:tc>
          <w:tcPr>
            <w:tcW w:w="1440" w:type="dxa"/>
            <w:shd w:val="clear" w:color="auto" w:fill="FFFFFF"/>
          </w:tcPr>
          <w:p w14:paraId="5BF175C2" w14:textId="45E2BE65" w:rsidR="00341B20" w:rsidRDefault="0037697B" w:rsidP="00E65395">
            <w:pPr>
              <w:jc w:val="right"/>
              <w:rPr>
                <w:rFonts w:ascii="Helvetica" w:hAnsi="Helvetica"/>
                <w:color w:val="333E48"/>
                <w:sz w:val="20"/>
                <w:szCs w:val="20"/>
              </w:rPr>
            </w:pPr>
            <w:r>
              <w:rPr>
                <w:rFonts w:ascii="Helvetica" w:hAnsi="Helvetica"/>
                <w:color w:val="333E48"/>
                <w:sz w:val="20"/>
                <w:szCs w:val="20"/>
              </w:rPr>
              <w:t>-</w:t>
            </w:r>
            <w:r w:rsidR="005F3052">
              <w:rPr>
                <w:rFonts w:ascii="Helvetica" w:hAnsi="Helvetica"/>
                <w:color w:val="333E48"/>
                <w:sz w:val="20"/>
                <w:szCs w:val="20"/>
              </w:rPr>
              <w:t>10</w:t>
            </w:r>
          </w:p>
        </w:tc>
        <w:tc>
          <w:tcPr>
            <w:tcW w:w="1350" w:type="dxa"/>
            <w:shd w:val="clear" w:color="auto" w:fill="FFFFFF"/>
          </w:tcPr>
          <w:p w14:paraId="593F87FD"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17%</w:t>
            </w:r>
          </w:p>
        </w:tc>
        <w:tc>
          <w:tcPr>
            <w:tcW w:w="990" w:type="dxa"/>
            <w:shd w:val="clear" w:color="auto" w:fill="FFFFFF"/>
          </w:tcPr>
          <w:p w14:paraId="7550E00E"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48%</w:t>
            </w:r>
          </w:p>
        </w:tc>
        <w:tc>
          <w:tcPr>
            <w:tcW w:w="990" w:type="dxa"/>
            <w:shd w:val="clear" w:color="auto" w:fill="FFFFFF"/>
          </w:tcPr>
          <w:p w14:paraId="3AB06F8C" w14:textId="77777777" w:rsidR="00341B20" w:rsidRDefault="00CF0CA8" w:rsidP="00E65395">
            <w:pPr>
              <w:jc w:val="right"/>
              <w:rPr>
                <w:rFonts w:ascii="Helvetica" w:hAnsi="Helvetica"/>
                <w:color w:val="333E48"/>
                <w:sz w:val="20"/>
                <w:szCs w:val="20"/>
              </w:rPr>
            </w:pPr>
            <w:r>
              <w:rPr>
                <w:rFonts w:ascii="Helvetica" w:hAnsi="Helvetica"/>
                <w:color w:val="333E48"/>
                <w:sz w:val="20"/>
                <w:szCs w:val="20"/>
              </w:rPr>
              <w:t>19%</w:t>
            </w:r>
          </w:p>
        </w:tc>
      </w:tr>
    </w:tbl>
    <w:p w14:paraId="24668410" w14:textId="77777777" w:rsidR="00CA2D5F" w:rsidRDefault="00CA2D5F">
      <w:pPr>
        <w:spacing w:line="240" w:lineRule="auto"/>
        <w:jc w:val="both"/>
      </w:pPr>
    </w:p>
    <w:p w14:paraId="0BE51994" w14:textId="77777777" w:rsidR="00F54EF1" w:rsidRPr="00770593" w:rsidRDefault="00F54EF1" w:rsidP="007E623C">
      <w:pPr>
        <w:spacing w:line="240" w:lineRule="auto"/>
        <w:jc w:val="both"/>
        <w:rPr>
          <w:b/>
          <w:bCs/>
        </w:rPr>
      </w:pPr>
      <w:r w:rsidRPr="00770593">
        <w:rPr>
          <w:b/>
          <w:bCs/>
        </w:rPr>
        <w:t>Evaluation of other relevant measures</w:t>
      </w:r>
      <w:r w:rsidR="007E623C" w:rsidRPr="00770593">
        <w:rPr>
          <w:b/>
          <w:bCs/>
        </w:rPr>
        <w:t xml:space="preserve"> is as follows: </w:t>
      </w:r>
    </w:p>
    <w:p w14:paraId="6F130C58" w14:textId="77777777" w:rsidR="00F54EF1" w:rsidRDefault="00F54EF1" w:rsidP="00E65395">
      <w:pPr>
        <w:pStyle w:val="ListParagraph"/>
        <w:numPr>
          <w:ilvl w:val="0"/>
          <w:numId w:val="4"/>
        </w:numPr>
        <w:spacing w:line="240" w:lineRule="auto"/>
        <w:jc w:val="both"/>
      </w:pPr>
      <w:r>
        <w:t xml:space="preserve">The largest support was for the extension of the </w:t>
      </w:r>
      <w:r w:rsidRPr="00E65395">
        <w:rPr>
          <w:b/>
          <w:bCs/>
        </w:rPr>
        <w:t>State of Emergency</w:t>
      </w:r>
      <w:r>
        <w:t xml:space="preserve"> t</w:t>
      </w:r>
      <w:r w:rsidR="00E65395">
        <w:t>ill</w:t>
      </w:r>
      <w:r>
        <w:t xml:space="preserve"> the end of April by President Mahmoud Abbas (80%).</w:t>
      </w:r>
      <w:r w:rsidR="00E65395">
        <w:t xml:space="preserve"> Only 9% view that negatively.</w:t>
      </w:r>
    </w:p>
    <w:p w14:paraId="48CD740B" w14:textId="77777777" w:rsidR="00F54EF1" w:rsidRDefault="00F54EF1" w:rsidP="00E65395">
      <w:pPr>
        <w:pStyle w:val="ListParagraph"/>
        <w:numPr>
          <w:ilvl w:val="0"/>
          <w:numId w:val="4"/>
        </w:numPr>
        <w:spacing w:line="240" w:lineRule="auto"/>
        <w:jc w:val="both"/>
      </w:pPr>
      <w:r>
        <w:t xml:space="preserve">This was followed by the government’s performance in </w:t>
      </w:r>
      <w:r w:rsidRPr="00E65395">
        <w:rPr>
          <w:b/>
          <w:bCs/>
        </w:rPr>
        <w:t xml:space="preserve">ensuring the availability of </w:t>
      </w:r>
      <w:r w:rsidR="00E65395" w:rsidRPr="00E65395">
        <w:rPr>
          <w:b/>
          <w:bCs/>
        </w:rPr>
        <w:t>needed goods and supplies</w:t>
      </w:r>
      <w:r w:rsidR="00E65395">
        <w:t xml:space="preserve"> (77%). In contrast, 8% view that negatively.</w:t>
      </w:r>
    </w:p>
    <w:p w14:paraId="0CE9AF61" w14:textId="77777777" w:rsidR="00E65395" w:rsidRDefault="00E65395" w:rsidP="00E65395">
      <w:pPr>
        <w:pStyle w:val="ListParagraph"/>
        <w:numPr>
          <w:ilvl w:val="0"/>
          <w:numId w:val="4"/>
        </w:numPr>
        <w:spacing w:line="240" w:lineRule="auto"/>
        <w:jc w:val="both"/>
      </w:pPr>
      <w:r>
        <w:t xml:space="preserve">Increasing </w:t>
      </w:r>
      <w:r w:rsidRPr="00E65395">
        <w:rPr>
          <w:b/>
          <w:bCs/>
        </w:rPr>
        <w:t>Palestinian security presence in the villages surrounding Jerusalem</w:t>
      </w:r>
      <w:r>
        <w:t xml:space="preserve"> was perceived as positive by 68% of the participants. Only 7% view it negatively, and 25% are neutral</w:t>
      </w:r>
      <w:r w:rsidR="00B30EBB">
        <w:t xml:space="preserve"> or do</w:t>
      </w:r>
      <w:r>
        <w:t xml:space="preserve"> not know.</w:t>
      </w:r>
    </w:p>
    <w:p w14:paraId="7BF9C67F" w14:textId="272D1455" w:rsidR="00E65395" w:rsidRDefault="00E65395" w:rsidP="00B30EBB">
      <w:pPr>
        <w:pStyle w:val="ListParagraph"/>
        <w:numPr>
          <w:ilvl w:val="0"/>
          <w:numId w:val="4"/>
        </w:numPr>
        <w:spacing w:line="240" w:lineRule="auto"/>
        <w:jc w:val="both"/>
      </w:pPr>
      <w:r w:rsidRPr="00E65395">
        <w:rPr>
          <w:b/>
          <w:bCs/>
        </w:rPr>
        <w:t>Establishing a national fund</w:t>
      </w:r>
      <w:r>
        <w:t xml:space="preserve"> to combat the impacts of the Covid-19 virus (</w:t>
      </w:r>
      <w:r w:rsidR="0037697B">
        <w:t xml:space="preserve">namely, </w:t>
      </w:r>
      <w:proofErr w:type="spellStart"/>
      <w:r>
        <w:t>Waqfat</w:t>
      </w:r>
      <w:proofErr w:type="spellEnd"/>
      <w:r>
        <w:t xml:space="preserve"> </w:t>
      </w:r>
      <w:proofErr w:type="spellStart"/>
      <w:r>
        <w:t>Izz</w:t>
      </w:r>
      <w:proofErr w:type="spellEnd"/>
      <w:r>
        <w:t>) received a majority of positive evaluation (68%). Only 9% view it negatively, and 23% are neutral or d</w:t>
      </w:r>
      <w:r w:rsidR="00B30EBB">
        <w:t>o</w:t>
      </w:r>
      <w:r>
        <w:t xml:space="preserve"> not know.</w:t>
      </w:r>
    </w:p>
    <w:p w14:paraId="3840E10F" w14:textId="77777777" w:rsidR="00E65395" w:rsidRDefault="00E65395" w:rsidP="00E65395">
      <w:pPr>
        <w:pStyle w:val="ListParagraph"/>
        <w:numPr>
          <w:ilvl w:val="0"/>
          <w:numId w:val="4"/>
        </w:numPr>
        <w:spacing w:line="240" w:lineRule="auto"/>
        <w:jc w:val="both"/>
      </w:pPr>
      <w:r>
        <w:lastRenderedPageBreak/>
        <w:t>58% view positively the banning of family members from attending the funeral of Corona-related deceased family members. In contrast, 19% view that negati</w:t>
      </w:r>
      <w:r w:rsidR="00B30EBB">
        <w:t>vely, and 23% are neutral or do</w:t>
      </w:r>
      <w:r>
        <w:t xml:space="preserve"> not know.</w:t>
      </w:r>
    </w:p>
    <w:p w14:paraId="2C06DE15" w14:textId="77777777" w:rsidR="00E65395" w:rsidRDefault="00E65395" w:rsidP="00B30EBB">
      <w:pPr>
        <w:pStyle w:val="ListParagraph"/>
        <w:numPr>
          <w:ilvl w:val="0"/>
          <w:numId w:val="4"/>
        </w:numPr>
        <w:spacing w:line="240" w:lineRule="auto"/>
        <w:jc w:val="both"/>
      </w:pPr>
      <w:r>
        <w:t xml:space="preserve">54% view </w:t>
      </w:r>
      <w:r w:rsidR="00B30EBB">
        <w:t xml:space="preserve">positively </w:t>
      </w:r>
      <w:r>
        <w:t xml:space="preserve">the level of social and community solidarity during the </w:t>
      </w:r>
      <w:r w:rsidR="00B30EBB">
        <w:t>pandemic. In contrast, 16% view it negatively, and 30% are neutral or do not know.</w:t>
      </w:r>
    </w:p>
    <w:p w14:paraId="1E82991B" w14:textId="77777777" w:rsidR="00B30EBB" w:rsidRDefault="00B30EBB" w:rsidP="00B30EBB">
      <w:pPr>
        <w:pStyle w:val="ListParagraph"/>
        <w:numPr>
          <w:ilvl w:val="0"/>
          <w:numId w:val="4"/>
        </w:numPr>
        <w:spacing w:line="240" w:lineRule="auto"/>
        <w:jc w:val="both"/>
      </w:pPr>
      <w:r>
        <w:t>Less than a majority (48%) view positively the measures to monitor and keep in check the prices of commodities. One third view that negatively, and 19% are neutral or do not know.</w:t>
      </w:r>
    </w:p>
    <w:p w14:paraId="1338739B" w14:textId="26AEF68B" w:rsidR="00B30EBB" w:rsidRDefault="00B30EBB" w:rsidP="00B30EBB">
      <w:pPr>
        <w:pStyle w:val="ListParagraph"/>
        <w:numPr>
          <w:ilvl w:val="0"/>
          <w:numId w:val="4"/>
        </w:numPr>
        <w:spacing w:line="240" w:lineRule="auto"/>
        <w:jc w:val="both"/>
      </w:pPr>
      <w:r>
        <w:t>44% positively evaluate the conditions of quarantine centers in the West Bank, with 10% viewing th</w:t>
      </w:r>
      <w:r w:rsidR="0037697B">
        <w:t>em</w:t>
      </w:r>
      <w:r>
        <w:t xml:space="preserve"> negatively. As much as 46% are neutral or do not know.</w:t>
      </w:r>
    </w:p>
    <w:p w14:paraId="77B7D021" w14:textId="77777777" w:rsidR="00B30EBB" w:rsidRDefault="00B30EBB" w:rsidP="00B30EBB">
      <w:pPr>
        <w:pStyle w:val="ListParagraph"/>
        <w:numPr>
          <w:ilvl w:val="0"/>
          <w:numId w:val="4"/>
        </w:numPr>
        <w:spacing w:line="240" w:lineRule="auto"/>
        <w:jc w:val="both"/>
      </w:pPr>
      <w:r>
        <w:t>42% positively view the recent arrangements to secure the return of Palestinians made by the Palestinian Embassy in Egypt. 17% view that negatively, and 41% are neutral or do not know.</w:t>
      </w:r>
    </w:p>
    <w:p w14:paraId="61B8857C" w14:textId="77777777" w:rsidR="00B30EBB" w:rsidRDefault="00B30EBB" w:rsidP="00B30EBB">
      <w:pPr>
        <w:pStyle w:val="ListParagraph"/>
        <w:numPr>
          <w:ilvl w:val="0"/>
          <w:numId w:val="4"/>
        </w:numPr>
        <w:spacing w:line="240" w:lineRule="auto"/>
        <w:jc w:val="both"/>
      </w:pPr>
      <w:r>
        <w:t>39% positively view the present distribution of assistance to the poor, while 31% view it negatively. 30% are neutral or do not know.</w:t>
      </w:r>
    </w:p>
    <w:p w14:paraId="7EE5DDDB" w14:textId="213501C6" w:rsidR="00CB37C8" w:rsidRDefault="00CB37C8" w:rsidP="00451EF3">
      <w:pPr>
        <w:pStyle w:val="ListParagraph"/>
        <w:numPr>
          <w:ilvl w:val="0"/>
          <w:numId w:val="4"/>
        </w:numPr>
        <w:spacing w:line="240" w:lineRule="auto"/>
        <w:jc w:val="both"/>
      </w:pPr>
      <w:r>
        <w:t xml:space="preserve">34% positively view the recent arrangements made by the Palestinian </w:t>
      </w:r>
      <w:r w:rsidR="00451EF3">
        <w:t xml:space="preserve">authorities </w:t>
      </w:r>
      <w:r>
        <w:t>in Gaza to receive the Palestinians arriving from Egypt. 1</w:t>
      </w:r>
      <w:r w:rsidR="0031191F">
        <w:t>3</w:t>
      </w:r>
      <w:r>
        <w:t xml:space="preserve">% view that negatively, </w:t>
      </w:r>
      <w:r w:rsidR="0031191F">
        <w:t xml:space="preserve">but as much as 53% </w:t>
      </w:r>
      <w:r>
        <w:t>are neutral or do not know.</w:t>
      </w:r>
    </w:p>
    <w:p w14:paraId="537D0568" w14:textId="77777777" w:rsidR="0031191F" w:rsidRDefault="0031191F" w:rsidP="0031191F">
      <w:pPr>
        <w:pStyle w:val="ListParagraph"/>
        <w:numPr>
          <w:ilvl w:val="0"/>
          <w:numId w:val="4"/>
        </w:numPr>
        <w:spacing w:line="240" w:lineRule="auto"/>
        <w:jc w:val="both"/>
      </w:pPr>
      <w:r>
        <w:t>32% positively view the easing of restrictions of movement in Gaza, while 26% view that negatively.  As much as 42% are neutral or do not know.</w:t>
      </w:r>
    </w:p>
    <w:p w14:paraId="7E454184" w14:textId="77777777" w:rsidR="00B30EBB" w:rsidRDefault="0031191F" w:rsidP="0031191F">
      <w:pPr>
        <w:pStyle w:val="ListParagraph"/>
        <w:numPr>
          <w:ilvl w:val="0"/>
          <w:numId w:val="4"/>
        </w:numPr>
        <w:spacing w:line="240" w:lineRule="auto"/>
        <w:jc w:val="both"/>
      </w:pPr>
      <w:r>
        <w:t>18% positively evaluate the conditions of quarantine centers in the Gaza Strip, with 19% viewing that negatively. As much as 63% are neutral or do not know.</w:t>
      </w:r>
    </w:p>
    <w:p w14:paraId="41EF63E2" w14:textId="77777777" w:rsidR="0031191F" w:rsidRDefault="0031191F" w:rsidP="00770593">
      <w:pPr>
        <w:spacing w:after="0" w:line="240" w:lineRule="auto"/>
        <w:jc w:val="both"/>
      </w:pPr>
    </w:p>
    <w:p w14:paraId="17D7A38E" w14:textId="0991C327" w:rsidR="0031191F" w:rsidRPr="0031191F" w:rsidRDefault="0031191F" w:rsidP="00770593">
      <w:pPr>
        <w:spacing w:line="240" w:lineRule="auto"/>
        <w:jc w:val="center"/>
        <w:rPr>
          <w:b/>
          <w:bCs/>
        </w:rPr>
      </w:pPr>
      <w:r w:rsidRPr="0031191F">
        <w:rPr>
          <w:b/>
          <w:bCs/>
        </w:rPr>
        <w:t xml:space="preserve">Figure 2: Percentage of Participants </w:t>
      </w:r>
      <w:r w:rsidR="00770593">
        <w:rPr>
          <w:b/>
          <w:bCs/>
        </w:rPr>
        <w:t>Positively Evaluating</w:t>
      </w:r>
      <w:r w:rsidRPr="0031191F">
        <w:rPr>
          <w:b/>
          <w:bCs/>
        </w:rPr>
        <w:t xml:space="preserve"> the</w:t>
      </w:r>
      <w:r w:rsidR="00770593">
        <w:rPr>
          <w:b/>
          <w:bCs/>
        </w:rPr>
        <w:t xml:space="preserve"> following Covid-19</w:t>
      </w:r>
      <w:r w:rsidRPr="0031191F">
        <w:rPr>
          <w:b/>
          <w:bCs/>
        </w:rPr>
        <w:t>–related Measures</w:t>
      </w:r>
    </w:p>
    <w:p w14:paraId="46AA38E1" w14:textId="7BD7FA7D" w:rsidR="00F54EF1" w:rsidRDefault="006E1A7A" w:rsidP="0031191F">
      <w:pPr>
        <w:spacing w:line="240" w:lineRule="auto"/>
        <w:jc w:val="both"/>
      </w:pPr>
      <w:r>
        <w:rPr>
          <w:noProof/>
        </w:rPr>
        <w:drawing>
          <wp:inline distT="0" distB="0" distL="0" distR="0" wp14:anchorId="13D2C217" wp14:editId="291F0143">
            <wp:extent cx="5731510" cy="3780155"/>
            <wp:effectExtent l="0" t="0" r="2540" b="10795"/>
            <wp:docPr id="5" name="Chart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804DC1" w14:textId="53339118" w:rsidR="006E1A7A" w:rsidRDefault="003B625C" w:rsidP="003B625C">
      <w:r>
        <w:br w:type="page"/>
      </w:r>
    </w:p>
    <w:p w14:paraId="0B54F5B8" w14:textId="4FB37CB0" w:rsidR="00CA2D5F" w:rsidRDefault="008732F5" w:rsidP="0031191F">
      <w:pPr>
        <w:shd w:val="clear" w:color="auto" w:fill="DBEEF3"/>
        <w:spacing w:line="240" w:lineRule="auto"/>
        <w:jc w:val="both"/>
        <w:rPr>
          <w:b/>
        </w:rPr>
      </w:pPr>
      <w:r>
        <w:rPr>
          <w:b/>
        </w:rPr>
        <w:lastRenderedPageBreak/>
        <w:t xml:space="preserve">(3) Evaluation of </w:t>
      </w:r>
      <w:r w:rsidR="0039409D">
        <w:rPr>
          <w:b/>
        </w:rPr>
        <w:t>R</w:t>
      </w:r>
      <w:r>
        <w:rPr>
          <w:b/>
        </w:rPr>
        <w:t xml:space="preserve">elevant </w:t>
      </w:r>
      <w:r w:rsidR="0039409D">
        <w:rPr>
          <w:b/>
        </w:rPr>
        <w:t>A</w:t>
      </w:r>
      <w:r w:rsidR="0031191F">
        <w:rPr>
          <w:b/>
        </w:rPr>
        <w:t>ctors</w:t>
      </w:r>
    </w:p>
    <w:p w14:paraId="55634F7C" w14:textId="68A8AED0" w:rsidR="00770593" w:rsidRDefault="008732F5" w:rsidP="007E623C">
      <w:pPr>
        <w:spacing w:line="240" w:lineRule="auto"/>
        <w:jc w:val="both"/>
      </w:pPr>
      <w:r>
        <w:t>In the survey, the role of relevant actors was evaluated</w:t>
      </w:r>
      <w:r w:rsidR="0031191F">
        <w:t xml:space="preserve"> and in some cases compared to AWRAD’s last poll two weeks ago. A</w:t>
      </w:r>
      <w:r>
        <w:t xml:space="preserve">s previously mentioned, the role of the government led by Dr. </w:t>
      </w:r>
      <w:proofErr w:type="spellStart"/>
      <w:r>
        <w:t>Shtayyeh</w:t>
      </w:r>
      <w:proofErr w:type="spellEnd"/>
      <w:r>
        <w:t xml:space="preserve"> is the highest among all </w:t>
      </w:r>
      <w:r w:rsidR="0031191F">
        <w:t>actors</w:t>
      </w:r>
      <w:r>
        <w:t xml:space="preserve"> evaluated</w:t>
      </w:r>
      <w:r w:rsidR="00814EBA">
        <w:t>, but with a slight decline from 8.2 to 7.8 points out of 10</w:t>
      </w:r>
      <w:r>
        <w:t>. As for the rest of the parties, the evaluation was as follows: The Ministry of Health ranked second</w:t>
      </w:r>
      <w:r w:rsidR="0039409D">
        <w:t>,</w:t>
      </w:r>
      <w:r w:rsidR="00814EBA">
        <w:t xml:space="preserve"> improving from 7.0 to 7.3 points</w:t>
      </w:r>
      <w:r>
        <w:t xml:space="preserve">, followed by the </w:t>
      </w:r>
      <w:r w:rsidR="00814EBA">
        <w:t xml:space="preserve">Local Emergency Committees established by the </w:t>
      </w:r>
      <w:r w:rsidR="0039409D">
        <w:t>g</w:t>
      </w:r>
      <w:r w:rsidR="00814EBA">
        <w:t xml:space="preserve">overnment (6.6), </w:t>
      </w:r>
      <w:r w:rsidR="008D7C6A">
        <w:t xml:space="preserve">Palestine TV (6.5), </w:t>
      </w:r>
      <w:r w:rsidR="00814EBA">
        <w:t xml:space="preserve">Palestinian official </w:t>
      </w:r>
      <w:r w:rsidR="0039409D">
        <w:t>r</w:t>
      </w:r>
      <w:r w:rsidR="00814EBA">
        <w:t xml:space="preserve">adio (6.3), the role of the Fatah movement (6.2), </w:t>
      </w:r>
      <w:r w:rsidR="00D35A77">
        <w:t xml:space="preserve">and </w:t>
      </w:r>
      <w:r>
        <w:t xml:space="preserve">then </w:t>
      </w:r>
      <w:r w:rsidR="00814EBA">
        <w:t>the Authorities in the Gaza Strip (5.7), organizations providing psychosocial services (5.4) the European Union (5.3)</w:t>
      </w:r>
      <w:r w:rsidR="008D7C6A">
        <w:t>, and Palestinian NGOs (5.2)</w:t>
      </w:r>
      <w:r>
        <w:t xml:space="preserve">. </w:t>
      </w:r>
      <w:r w:rsidR="00814EBA">
        <w:t>The actors receiving a score of less than 5 out of 10 are</w:t>
      </w:r>
      <w:r w:rsidR="008D7C6A">
        <w:t xml:space="preserve"> </w:t>
      </w:r>
      <w:r w:rsidR="00814EBA">
        <w:t xml:space="preserve">the private sector (4.6) and the Hamas movement (4.2). </w:t>
      </w:r>
    </w:p>
    <w:p w14:paraId="5CCCE9F9" w14:textId="2A4746DE" w:rsidR="006E1A7A" w:rsidRPr="00451EF3" w:rsidRDefault="00770593" w:rsidP="00451EF3">
      <w:pPr>
        <w:pStyle w:val="ListParagraph"/>
        <w:spacing w:line="240" w:lineRule="auto"/>
        <w:contextualSpacing w:val="0"/>
        <w:jc w:val="center"/>
        <w:rPr>
          <w:b/>
          <w:bCs/>
        </w:rPr>
      </w:pPr>
      <w:r w:rsidRPr="007E623C">
        <w:rPr>
          <w:b/>
          <w:bCs/>
        </w:rPr>
        <w:t>Figure 3: Evaluation of Relevant Actors (Score out of 10)</w:t>
      </w:r>
    </w:p>
    <w:p w14:paraId="00F59307" w14:textId="24F0B19F" w:rsidR="006E1A7A" w:rsidRPr="007E623C" w:rsidRDefault="006E1A7A" w:rsidP="003B625C">
      <w:pPr>
        <w:pStyle w:val="ListParagraph"/>
        <w:spacing w:line="240" w:lineRule="auto"/>
        <w:rPr>
          <w:b/>
          <w:bCs/>
        </w:rPr>
      </w:pPr>
      <w:r>
        <w:rPr>
          <w:noProof/>
        </w:rPr>
        <w:drawing>
          <wp:inline distT="0" distB="0" distL="0" distR="0" wp14:anchorId="40DAD9EF" wp14:editId="76718ED3">
            <wp:extent cx="5229225" cy="2686050"/>
            <wp:effectExtent l="0" t="0" r="9525" b="19050"/>
            <wp:docPr id="7" name="Chart 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E9D64E" w14:textId="77777777" w:rsidR="00E26A70" w:rsidRDefault="00E26A70" w:rsidP="007E623C">
      <w:pPr>
        <w:spacing w:line="240" w:lineRule="auto"/>
        <w:jc w:val="both"/>
      </w:pPr>
      <w:r>
        <w:t>To shed more light on these results, the following observations are important:</w:t>
      </w:r>
    </w:p>
    <w:p w14:paraId="5DCF39F0" w14:textId="77777777" w:rsidR="00814EBA" w:rsidRDefault="00E26A70" w:rsidP="008D7C6A">
      <w:pPr>
        <w:pStyle w:val="ListParagraph"/>
        <w:numPr>
          <w:ilvl w:val="0"/>
          <w:numId w:val="5"/>
        </w:numPr>
        <w:spacing w:line="240" w:lineRule="auto"/>
        <w:jc w:val="both"/>
      </w:pPr>
      <w:r>
        <w:t xml:space="preserve">The positive evaluation for the Ministry of Health has increased from 7.1 to 7.3, and the positive evaluation </w:t>
      </w:r>
      <w:r w:rsidR="008F53D6">
        <w:t>of Palestine TV from 6</w:t>
      </w:r>
      <w:r w:rsidR="008D7C6A">
        <w:t>.</w:t>
      </w:r>
      <w:r w:rsidR="008F53D6">
        <w:t>4</w:t>
      </w:r>
      <w:r w:rsidR="008D7C6A">
        <w:t xml:space="preserve"> To 6.5, and </w:t>
      </w:r>
      <w:r>
        <w:t>the Authorities in Gaza from 5.2 to 5.7.</w:t>
      </w:r>
    </w:p>
    <w:p w14:paraId="71EE9097" w14:textId="77777777" w:rsidR="00E26A70" w:rsidRDefault="00E26A70" w:rsidP="008D7C6A">
      <w:pPr>
        <w:pStyle w:val="ListParagraph"/>
        <w:numPr>
          <w:ilvl w:val="0"/>
          <w:numId w:val="5"/>
        </w:numPr>
        <w:spacing w:line="240" w:lineRule="auto"/>
        <w:jc w:val="both"/>
      </w:pPr>
      <w:r>
        <w:t xml:space="preserve">The evaluation of the following has slightly or significantly declined: The Palestinian Government (from 8.2 to 7.8), </w:t>
      </w:r>
      <w:r w:rsidR="008F53D6">
        <w:t xml:space="preserve">and </w:t>
      </w:r>
      <w:r>
        <w:t xml:space="preserve">the role of NGOs (from 5.4 to </w:t>
      </w:r>
      <w:r w:rsidR="008D7C6A">
        <w:t>5.2</w:t>
      </w:r>
      <w:r>
        <w:t>).</w:t>
      </w:r>
    </w:p>
    <w:p w14:paraId="682DD9FA" w14:textId="77777777" w:rsidR="00E26A70" w:rsidRDefault="00E26A70" w:rsidP="00E26A70">
      <w:pPr>
        <w:pStyle w:val="ListParagraph"/>
        <w:numPr>
          <w:ilvl w:val="0"/>
          <w:numId w:val="5"/>
        </w:numPr>
        <w:spacing w:line="240" w:lineRule="auto"/>
        <w:jc w:val="both"/>
      </w:pPr>
      <w:r>
        <w:t>The evaluation of the role of the private sector did not change.</w:t>
      </w:r>
    </w:p>
    <w:p w14:paraId="42104607" w14:textId="6A20E0D0" w:rsidR="00E26A70" w:rsidRDefault="008D7C6A" w:rsidP="007E623C">
      <w:pPr>
        <w:pStyle w:val="ListParagraph"/>
        <w:numPr>
          <w:ilvl w:val="0"/>
          <w:numId w:val="5"/>
        </w:numPr>
        <w:spacing w:line="240" w:lineRule="auto"/>
        <w:jc w:val="both"/>
      </w:pPr>
      <w:r>
        <w:t>The evaluation of the above-listed actors is either related to the level of knowledge of their work or to the limited role that they play, hence it is not recognized. As much as 34% of the participants in the poll (who are generally of higher educational attainment) say they do not know about the role of Hamas</w:t>
      </w:r>
      <w:r w:rsidR="007E623C">
        <w:t>, and 31% do not know of the role of the Authorities in Gaza;</w:t>
      </w:r>
      <w:r>
        <w:t xml:space="preserve"> therefore are unable to evaluate it. As much as 26% s</w:t>
      </w:r>
      <w:r w:rsidR="007E623C">
        <w:t xml:space="preserve">ay </w:t>
      </w:r>
      <w:r>
        <w:t>that they do not know about the role of the European Union; 19% do not know about the role of Fatah; 17% do not know about the role of Palestine R</w:t>
      </w:r>
      <w:r w:rsidR="007E623C">
        <w:t>adio;</w:t>
      </w:r>
      <w:r>
        <w:t xml:space="preserve"> 16% do not know about the role </w:t>
      </w:r>
      <w:r w:rsidR="00D35A77">
        <w:t xml:space="preserve">of </w:t>
      </w:r>
      <w:r>
        <w:t>psychosocial services</w:t>
      </w:r>
      <w:r w:rsidR="007E623C">
        <w:t xml:space="preserve">; and 9% do not know about the role of the NGOs and the private sector. Only 1% say that they </w:t>
      </w:r>
      <w:r w:rsidR="00D35A77">
        <w:t xml:space="preserve">do not </w:t>
      </w:r>
      <w:r w:rsidR="007E623C">
        <w:t xml:space="preserve">have knowledge of the role of government led by </w:t>
      </w:r>
      <w:proofErr w:type="spellStart"/>
      <w:r w:rsidR="007E623C">
        <w:t>Shtayyeh</w:t>
      </w:r>
      <w:proofErr w:type="spellEnd"/>
      <w:r w:rsidR="007E623C">
        <w:t xml:space="preserve"> and that of the Ministry of Health. Only 5% do not know of the role of Palestine TV and Local Emergency Committees. </w:t>
      </w:r>
    </w:p>
    <w:p w14:paraId="055B5E34" w14:textId="77777777" w:rsidR="00CA2D5F" w:rsidRDefault="00CA2D5F" w:rsidP="00770593">
      <w:pPr>
        <w:spacing w:after="0" w:line="240" w:lineRule="auto"/>
        <w:jc w:val="both"/>
        <w:rPr>
          <w:rtl/>
        </w:rPr>
      </w:pPr>
    </w:p>
    <w:p w14:paraId="202AE94A" w14:textId="29448577" w:rsidR="003B625C" w:rsidRDefault="003B625C" w:rsidP="003B625C">
      <w:r>
        <w:rPr>
          <w:rtl/>
        </w:rPr>
        <w:br w:type="page"/>
      </w:r>
    </w:p>
    <w:p w14:paraId="1D399456" w14:textId="0B767C4E" w:rsidR="00CA2D5F" w:rsidRDefault="008732F5">
      <w:pPr>
        <w:shd w:val="clear" w:color="auto" w:fill="DBEEF3"/>
        <w:spacing w:line="240" w:lineRule="auto"/>
        <w:jc w:val="both"/>
        <w:rPr>
          <w:b/>
        </w:rPr>
      </w:pPr>
      <w:r>
        <w:rPr>
          <w:b/>
        </w:rPr>
        <w:lastRenderedPageBreak/>
        <w:t xml:space="preserve">(4) Future </w:t>
      </w:r>
      <w:r w:rsidR="0039409D">
        <w:rPr>
          <w:b/>
        </w:rPr>
        <w:t>E</w:t>
      </w:r>
      <w:r>
        <w:rPr>
          <w:b/>
        </w:rPr>
        <w:t>xpectations</w:t>
      </w:r>
    </w:p>
    <w:p w14:paraId="44FC577F" w14:textId="77777777" w:rsidR="00445285" w:rsidRDefault="008732F5">
      <w:pPr>
        <w:spacing w:line="240" w:lineRule="auto"/>
        <w:jc w:val="both"/>
      </w:pPr>
      <w:r>
        <w:t xml:space="preserve">The </w:t>
      </w:r>
      <w:r w:rsidR="00463932">
        <w:t xml:space="preserve">level of pessimism has significantly increased during the past two weeks. </w:t>
      </w:r>
    </w:p>
    <w:p w14:paraId="1FB57C14" w14:textId="77777777" w:rsidR="00463932" w:rsidRDefault="00445285" w:rsidP="00445285">
      <w:pPr>
        <w:pStyle w:val="ListParagraph"/>
        <w:numPr>
          <w:ilvl w:val="0"/>
          <w:numId w:val="6"/>
        </w:numPr>
        <w:spacing w:line="240" w:lineRule="auto"/>
        <w:jc w:val="both"/>
      </w:pPr>
      <w:r>
        <w:t>The level of pessimism about the economy increased from 66% to 93% (a 41% relative increase).</w:t>
      </w:r>
    </w:p>
    <w:p w14:paraId="1065D60C" w14:textId="77777777" w:rsidR="00445285" w:rsidRDefault="00445285" w:rsidP="00445285">
      <w:pPr>
        <w:pStyle w:val="ListParagraph"/>
        <w:numPr>
          <w:ilvl w:val="0"/>
          <w:numId w:val="6"/>
        </w:numPr>
        <w:spacing w:line="240" w:lineRule="auto"/>
        <w:jc w:val="both"/>
      </w:pPr>
      <w:r>
        <w:t>The level of pessimism about education increased from 62% to 85% (a 38% relative increase).</w:t>
      </w:r>
    </w:p>
    <w:p w14:paraId="2DD1487A" w14:textId="77777777" w:rsidR="00445285" w:rsidRDefault="00445285" w:rsidP="00445285">
      <w:pPr>
        <w:pStyle w:val="ListParagraph"/>
        <w:numPr>
          <w:ilvl w:val="0"/>
          <w:numId w:val="6"/>
        </w:numPr>
        <w:spacing w:line="240" w:lineRule="auto"/>
        <w:jc w:val="both"/>
      </w:pPr>
      <w:r>
        <w:t>The level of pessimism about community violence/crime increased from 40% to 58% (a 45% relative increase).</w:t>
      </w:r>
    </w:p>
    <w:p w14:paraId="50D63A0D" w14:textId="77777777" w:rsidR="00445285" w:rsidRDefault="00445285" w:rsidP="00445285">
      <w:pPr>
        <w:pStyle w:val="ListParagraph"/>
        <w:numPr>
          <w:ilvl w:val="0"/>
          <w:numId w:val="6"/>
        </w:numPr>
        <w:spacing w:line="240" w:lineRule="auto"/>
        <w:jc w:val="both"/>
      </w:pPr>
      <w:r>
        <w:t>The level of pessimism about the increased burdens on women increased from 48% to 54% (a 13% relative increase).</w:t>
      </w:r>
    </w:p>
    <w:p w14:paraId="457DD45F" w14:textId="5B8B8504" w:rsidR="00445285" w:rsidRDefault="00445285" w:rsidP="00F42926">
      <w:pPr>
        <w:pStyle w:val="ListParagraph"/>
        <w:numPr>
          <w:ilvl w:val="0"/>
          <w:numId w:val="6"/>
        </w:numPr>
        <w:spacing w:line="240" w:lineRule="auto"/>
        <w:jc w:val="both"/>
      </w:pPr>
      <w:r>
        <w:t xml:space="preserve">The level of pessimism about violence against women </w:t>
      </w:r>
      <w:r w:rsidR="00F42926">
        <w:t xml:space="preserve">is especially alarming, </w:t>
      </w:r>
      <w:r>
        <w:t>increas</w:t>
      </w:r>
      <w:r w:rsidR="00F42926">
        <w:t>ing</w:t>
      </w:r>
      <w:r>
        <w:t xml:space="preserve"> from 35% to 53% (a 53% relative increase</w:t>
      </w:r>
      <w:r w:rsidR="001D0CA0">
        <w:t>,</w:t>
      </w:r>
      <w:r>
        <w:t xml:space="preserve"> the highest relative increase between all issues).</w:t>
      </w:r>
    </w:p>
    <w:p w14:paraId="07491D94" w14:textId="77777777" w:rsidR="00445285" w:rsidRDefault="00445285" w:rsidP="00F42926">
      <w:pPr>
        <w:pStyle w:val="ListParagraph"/>
        <w:numPr>
          <w:ilvl w:val="0"/>
          <w:numId w:val="6"/>
        </w:numPr>
        <w:spacing w:line="240" w:lineRule="auto"/>
        <w:jc w:val="both"/>
      </w:pPr>
      <w:r>
        <w:t xml:space="preserve">The level of pessimism about violence against children increased from </w:t>
      </w:r>
      <w:r w:rsidR="00F42926">
        <w:t>3</w:t>
      </w:r>
      <w:r>
        <w:t xml:space="preserve">6% to </w:t>
      </w:r>
      <w:r w:rsidR="00F42926">
        <w:t>49</w:t>
      </w:r>
      <w:r>
        <w:t>% (</w:t>
      </w:r>
      <w:r w:rsidR="00F42926">
        <w:t>a 36</w:t>
      </w:r>
      <w:r>
        <w:t>% relative increase).</w:t>
      </w:r>
    </w:p>
    <w:p w14:paraId="1B005ACF" w14:textId="77777777" w:rsidR="00445285" w:rsidRDefault="00445285" w:rsidP="003F5213">
      <w:pPr>
        <w:pStyle w:val="ListParagraph"/>
        <w:spacing w:after="120" w:line="240" w:lineRule="auto"/>
        <w:jc w:val="both"/>
      </w:pPr>
    </w:p>
    <w:p w14:paraId="77A878D5" w14:textId="77777777" w:rsidR="00445285" w:rsidRPr="00F42926" w:rsidRDefault="00770593" w:rsidP="00770593">
      <w:pPr>
        <w:spacing w:line="240" w:lineRule="auto"/>
        <w:jc w:val="center"/>
        <w:rPr>
          <w:b/>
          <w:bCs/>
        </w:rPr>
      </w:pPr>
      <w:r>
        <w:rPr>
          <w:noProof/>
        </w:rPr>
        <w:drawing>
          <wp:anchor distT="0" distB="0" distL="114300" distR="114300" simplePos="0" relativeHeight="251666432" behindDoc="0" locked="0" layoutInCell="1" allowOverlap="1" wp14:anchorId="790C2234" wp14:editId="61890F5D">
            <wp:simplePos x="0" y="0"/>
            <wp:positionH relativeFrom="column">
              <wp:posOffset>28575</wp:posOffset>
            </wp:positionH>
            <wp:positionV relativeFrom="paragraph">
              <wp:posOffset>451485</wp:posOffset>
            </wp:positionV>
            <wp:extent cx="5667375" cy="2581275"/>
            <wp:effectExtent l="0" t="0" r="9525"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42926" w:rsidRPr="00F42926">
        <w:rPr>
          <w:b/>
          <w:bCs/>
        </w:rPr>
        <w:t>Figure 4: Percentage of Participants Expecting Negative Developments in the Following Fields (Comparison with 2 weeks ago)</w:t>
      </w:r>
    </w:p>
    <w:p w14:paraId="15308814" w14:textId="77777777" w:rsidR="00445285" w:rsidRDefault="00445285" w:rsidP="00FF308F">
      <w:pPr>
        <w:spacing w:after="0" w:line="240" w:lineRule="auto"/>
        <w:jc w:val="both"/>
      </w:pPr>
    </w:p>
    <w:p w14:paraId="01E1351F" w14:textId="77777777" w:rsidR="00445285" w:rsidRPr="00F42926" w:rsidRDefault="00F42926" w:rsidP="00F42926">
      <w:pPr>
        <w:shd w:val="clear" w:color="auto" w:fill="B8CCE4" w:themeFill="accent1" w:themeFillTint="66"/>
        <w:spacing w:line="240" w:lineRule="auto"/>
        <w:jc w:val="both"/>
        <w:rPr>
          <w:b/>
          <w:bCs/>
        </w:rPr>
      </w:pPr>
      <w:r w:rsidRPr="00F42926">
        <w:rPr>
          <w:b/>
          <w:bCs/>
        </w:rPr>
        <w:t>(5) Covid-19 and the Potential for Palestinian Reconciliation</w:t>
      </w:r>
    </w:p>
    <w:p w14:paraId="37BF8F2C" w14:textId="77777777" w:rsidR="00111093" w:rsidRDefault="00F42926">
      <w:pPr>
        <w:spacing w:line="240" w:lineRule="auto"/>
        <w:jc w:val="both"/>
      </w:pPr>
      <w:r>
        <w:t>The Covid-19 pandemic is not viewed as powerful enough to move Fatah and Hamas closer to ending the Palestinian division and reaching reconciliation. Only 7% believe that the pandemic would lead to ending the division, while 64% do not believe that. As much as 29% do not know or uncertain.</w:t>
      </w:r>
    </w:p>
    <w:p w14:paraId="4AE46B92" w14:textId="24796870" w:rsidR="00445285" w:rsidRPr="00770593" w:rsidRDefault="00445285" w:rsidP="00770593">
      <w:pPr>
        <w:spacing w:line="240" w:lineRule="auto"/>
        <w:jc w:val="center"/>
        <w:rPr>
          <w:b/>
          <w:bCs/>
        </w:rPr>
      </w:pPr>
    </w:p>
    <w:sectPr w:rsidR="00445285" w:rsidRPr="00770593">
      <w:footerReference w:type="defaul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20608" w14:textId="77777777" w:rsidR="008A39AA" w:rsidRDefault="008A39AA">
      <w:pPr>
        <w:spacing w:after="0" w:line="240" w:lineRule="auto"/>
      </w:pPr>
      <w:r>
        <w:separator/>
      </w:r>
    </w:p>
  </w:endnote>
  <w:endnote w:type="continuationSeparator" w:id="0">
    <w:p w14:paraId="5622E68D" w14:textId="77777777" w:rsidR="008A39AA" w:rsidRDefault="008A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84B80" w14:textId="77777777" w:rsidR="00111093" w:rsidRDefault="00111093">
    <w:pPr>
      <w:pBdr>
        <w:top w:val="single" w:sz="4" w:space="1" w:color="7F7F7F"/>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55F70">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2074" w14:textId="77777777" w:rsidR="008A39AA" w:rsidRDefault="008A39AA">
      <w:pPr>
        <w:spacing w:after="0" w:line="240" w:lineRule="auto"/>
      </w:pPr>
      <w:r>
        <w:separator/>
      </w:r>
    </w:p>
  </w:footnote>
  <w:footnote w:type="continuationSeparator" w:id="0">
    <w:p w14:paraId="0C65DF07" w14:textId="77777777" w:rsidR="008A39AA" w:rsidRDefault="008A3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5AE5"/>
    <w:multiLevelType w:val="multilevel"/>
    <w:tmpl w:val="AE72C5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E25F4"/>
    <w:multiLevelType w:val="hybridMultilevel"/>
    <w:tmpl w:val="62EA2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138CD"/>
    <w:multiLevelType w:val="multilevel"/>
    <w:tmpl w:val="C0A40236"/>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0D6742"/>
    <w:multiLevelType w:val="hybridMultilevel"/>
    <w:tmpl w:val="14AE98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C46A3"/>
    <w:multiLevelType w:val="hybridMultilevel"/>
    <w:tmpl w:val="29006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86651"/>
    <w:multiLevelType w:val="hybridMultilevel"/>
    <w:tmpl w:val="EE888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5F"/>
    <w:rsid w:val="000A09B4"/>
    <w:rsid w:val="00111093"/>
    <w:rsid w:val="001D0CA0"/>
    <w:rsid w:val="001D2B40"/>
    <w:rsid w:val="002060FD"/>
    <w:rsid w:val="002107C9"/>
    <w:rsid w:val="00252C6C"/>
    <w:rsid w:val="003030C1"/>
    <w:rsid w:val="0031191F"/>
    <w:rsid w:val="00341B20"/>
    <w:rsid w:val="00351BB9"/>
    <w:rsid w:val="003635F4"/>
    <w:rsid w:val="0037697B"/>
    <w:rsid w:val="0039409D"/>
    <w:rsid w:val="003B625C"/>
    <w:rsid w:val="003C0128"/>
    <w:rsid w:val="003D0484"/>
    <w:rsid w:val="003F5213"/>
    <w:rsid w:val="00420E65"/>
    <w:rsid w:val="00445285"/>
    <w:rsid w:val="00451EF3"/>
    <w:rsid w:val="00463932"/>
    <w:rsid w:val="00484593"/>
    <w:rsid w:val="004E5D11"/>
    <w:rsid w:val="00597CF9"/>
    <w:rsid w:val="005F3052"/>
    <w:rsid w:val="00612E98"/>
    <w:rsid w:val="006A24EC"/>
    <w:rsid w:val="006E1A7A"/>
    <w:rsid w:val="00715A0D"/>
    <w:rsid w:val="00770593"/>
    <w:rsid w:val="007A25B1"/>
    <w:rsid w:val="007D4D9D"/>
    <w:rsid w:val="007E6062"/>
    <w:rsid w:val="007E623C"/>
    <w:rsid w:val="00814EBA"/>
    <w:rsid w:val="008732F5"/>
    <w:rsid w:val="008A39AA"/>
    <w:rsid w:val="008D7C6A"/>
    <w:rsid w:val="008F53D6"/>
    <w:rsid w:val="008F60E3"/>
    <w:rsid w:val="009152A9"/>
    <w:rsid w:val="00955AB3"/>
    <w:rsid w:val="00A11CFC"/>
    <w:rsid w:val="00AA3943"/>
    <w:rsid w:val="00AA7AD8"/>
    <w:rsid w:val="00AB557C"/>
    <w:rsid w:val="00B30EBB"/>
    <w:rsid w:val="00B50020"/>
    <w:rsid w:val="00BC380C"/>
    <w:rsid w:val="00C23BC9"/>
    <w:rsid w:val="00C87426"/>
    <w:rsid w:val="00CA2D5F"/>
    <w:rsid w:val="00CA68F9"/>
    <w:rsid w:val="00CB37C8"/>
    <w:rsid w:val="00CD7B5F"/>
    <w:rsid w:val="00CF0CA8"/>
    <w:rsid w:val="00D16AC0"/>
    <w:rsid w:val="00D35A77"/>
    <w:rsid w:val="00D62702"/>
    <w:rsid w:val="00E26A70"/>
    <w:rsid w:val="00E55F70"/>
    <w:rsid w:val="00E65395"/>
    <w:rsid w:val="00E91CF3"/>
    <w:rsid w:val="00F42926"/>
    <w:rsid w:val="00F54EF1"/>
    <w:rsid w:val="00F57C10"/>
    <w:rsid w:val="00FE55B8"/>
    <w:rsid w:val="00FF3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286E"/>
  <w15:docId w15:val="{B43A1334-9C5A-4AEA-ADF2-3C7D70BC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5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B3"/>
    <w:rPr>
      <w:rFonts w:ascii="Tahoma" w:hAnsi="Tahoma" w:cs="Tahoma"/>
      <w:sz w:val="16"/>
      <w:szCs w:val="16"/>
    </w:rPr>
  </w:style>
  <w:style w:type="paragraph" w:styleId="ListParagraph">
    <w:name w:val="List Paragraph"/>
    <w:basedOn w:val="Normal"/>
    <w:uiPriority w:val="34"/>
    <w:qFormat/>
    <w:rsid w:val="00CF0CA8"/>
    <w:pPr>
      <w:ind w:left="720"/>
      <w:contextualSpacing/>
    </w:pPr>
  </w:style>
  <w:style w:type="character" w:styleId="CommentReference">
    <w:name w:val="annotation reference"/>
    <w:basedOn w:val="DefaultParagraphFont"/>
    <w:uiPriority w:val="99"/>
    <w:semiHidden/>
    <w:unhideWhenUsed/>
    <w:rsid w:val="00AA3943"/>
    <w:rPr>
      <w:sz w:val="16"/>
      <w:szCs w:val="16"/>
    </w:rPr>
  </w:style>
  <w:style w:type="paragraph" w:styleId="CommentText">
    <w:name w:val="annotation text"/>
    <w:basedOn w:val="Normal"/>
    <w:link w:val="CommentTextChar"/>
    <w:uiPriority w:val="99"/>
    <w:semiHidden/>
    <w:unhideWhenUsed/>
    <w:rsid w:val="00AA3943"/>
    <w:pPr>
      <w:spacing w:line="240" w:lineRule="auto"/>
    </w:pPr>
    <w:rPr>
      <w:sz w:val="20"/>
      <w:szCs w:val="20"/>
    </w:rPr>
  </w:style>
  <w:style w:type="character" w:customStyle="1" w:styleId="CommentTextChar">
    <w:name w:val="Comment Text Char"/>
    <w:basedOn w:val="DefaultParagraphFont"/>
    <w:link w:val="CommentText"/>
    <w:uiPriority w:val="99"/>
    <w:semiHidden/>
    <w:rsid w:val="00AA3943"/>
    <w:rPr>
      <w:sz w:val="20"/>
      <w:szCs w:val="20"/>
    </w:rPr>
  </w:style>
  <w:style w:type="paragraph" w:styleId="CommentSubject">
    <w:name w:val="annotation subject"/>
    <w:basedOn w:val="CommentText"/>
    <w:next w:val="CommentText"/>
    <w:link w:val="CommentSubjectChar"/>
    <w:uiPriority w:val="99"/>
    <w:semiHidden/>
    <w:unhideWhenUsed/>
    <w:rsid w:val="00AA3943"/>
    <w:rPr>
      <w:b/>
      <w:bCs/>
    </w:rPr>
  </w:style>
  <w:style w:type="character" w:customStyle="1" w:styleId="CommentSubjectChar">
    <w:name w:val="Comment Subject Char"/>
    <w:basedOn w:val="CommentTextChar"/>
    <w:link w:val="CommentSubject"/>
    <w:uiPriority w:val="99"/>
    <w:semiHidden/>
    <w:rsid w:val="00AA3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3833">
      <w:bodyDiv w:val="1"/>
      <w:marLeft w:val="0"/>
      <w:marRight w:val="0"/>
      <w:marTop w:val="0"/>
      <w:marBottom w:val="0"/>
      <w:divBdr>
        <w:top w:val="none" w:sz="0" w:space="0" w:color="auto"/>
        <w:left w:val="none" w:sz="0" w:space="0" w:color="auto"/>
        <w:bottom w:val="none" w:sz="0" w:space="0" w:color="auto"/>
        <w:right w:val="none" w:sz="0" w:space="0" w:color="auto"/>
      </w:divBdr>
      <w:divsChild>
        <w:div w:id="1477794010">
          <w:marLeft w:val="0"/>
          <w:marRight w:val="0"/>
          <w:marTop w:val="0"/>
          <w:marBottom w:val="0"/>
          <w:divBdr>
            <w:top w:val="none" w:sz="0" w:space="0" w:color="auto"/>
            <w:left w:val="none" w:sz="0" w:space="0" w:color="auto"/>
            <w:bottom w:val="none" w:sz="0" w:space="0" w:color="auto"/>
            <w:right w:val="none" w:sz="0" w:space="0" w:color="auto"/>
          </w:divBdr>
        </w:div>
        <w:div w:id="970860635">
          <w:marLeft w:val="0"/>
          <w:marRight w:val="0"/>
          <w:marTop w:val="0"/>
          <w:marBottom w:val="0"/>
          <w:divBdr>
            <w:top w:val="none" w:sz="0" w:space="0" w:color="auto"/>
            <w:left w:val="none" w:sz="0" w:space="0" w:color="auto"/>
            <w:bottom w:val="none" w:sz="0" w:space="0" w:color="auto"/>
            <w:right w:val="none" w:sz="0" w:space="0" w:color="auto"/>
          </w:divBdr>
        </w:div>
        <w:div w:id="1301225837">
          <w:marLeft w:val="0"/>
          <w:marRight w:val="0"/>
          <w:marTop w:val="0"/>
          <w:marBottom w:val="0"/>
          <w:divBdr>
            <w:top w:val="none" w:sz="0" w:space="0" w:color="auto"/>
            <w:left w:val="none" w:sz="0" w:space="0" w:color="auto"/>
            <w:bottom w:val="none" w:sz="0" w:space="0" w:color="auto"/>
            <w:right w:val="none" w:sz="0" w:space="0" w:color="auto"/>
          </w:divBdr>
        </w:div>
        <w:div w:id="1904484895">
          <w:marLeft w:val="0"/>
          <w:marRight w:val="0"/>
          <w:marTop w:val="0"/>
          <w:marBottom w:val="0"/>
          <w:divBdr>
            <w:top w:val="none" w:sz="0" w:space="0" w:color="auto"/>
            <w:left w:val="none" w:sz="0" w:space="0" w:color="auto"/>
            <w:bottom w:val="none" w:sz="0" w:space="0" w:color="auto"/>
            <w:right w:val="none" w:sz="0" w:space="0" w:color="auto"/>
          </w:divBdr>
        </w:div>
        <w:div w:id="279072710">
          <w:marLeft w:val="0"/>
          <w:marRight w:val="0"/>
          <w:marTop w:val="0"/>
          <w:marBottom w:val="0"/>
          <w:divBdr>
            <w:top w:val="none" w:sz="0" w:space="0" w:color="auto"/>
            <w:left w:val="none" w:sz="0" w:space="0" w:color="auto"/>
            <w:bottom w:val="none" w:sz="0" w:space="0" w:color="auto"/>
            <w:right w:val="none" w:sz="0" w:space="0" w:color="auto"/>
          </w:divBdr>
        </w:div>
        <w:div w:id="2069182087">
          <w:marLeft w:val="0"/>
          <w:marRight w:val="0"/>
          <w:marTop w:val="0"/>
          <w:marBottom w:val="0"/>
          <w:divBdr>
            <w:top w:val="none" w:sz="0" w:space="0" w:color="auto"/>
            <w:left w:val="none" w:sz="0" w:space="0" w:color="auto"/>
            <w:bottom w:val="none" w:sz="0" w:space="0" w:color="auto"/>
            <w:right w:val="none" w:sz="0" w:space="0" w:color="auto"/>
          </w:divBdr>
        </w:div>
        <w:div w:id="1804224908">
          <w:marLeft w:val="0"/>
          <w:marRight w:val="0"/>
          <w:marTop w:val="0"/>
          <w:marBottom w:val="0"/>
          <w:divBdr>
            <w:top w:val="none" w:sz="0" w:space="0" w:color="auto"/>
            <w:left w:val="none" w:sz="0" w:space="0" w:color="auto"/>
            <w:bottom w:val="none" w:sz="0" w:space="0" w:color="auto"/>
            <w:right w:val="none" w:sz="0" w:space="0" w:color="auto"/>
          </w:divBdr>
        </w:div>
      </w:divsChild>
    </w:div>
    <w:div w:id="233591038">
      <w:bodyDiv w:val="1"/>
      <w:marLeft w:val="0"/>
      <w:marRight w:val="0"/>
      <w:marTop w:val="0"/>
      <w:marBottom w:val="0"/>
      <w:divBdr>
        <w:top w:val="none" w:sz="0" w:space="0" w:color="auto"/>
        <w:left w:val="none" w:sz="0" w:space="0" w:color="auto"/>
        <w:bottom w:val="none" w:sz="0" w:space="0" w:color="auto"/>
        <w:right w:val="none" w:sz="0" w:space="0" w:color="auto"/>
      </w:divBdr>
      <w:divsChild>
        <w:div w:id="1520117498">
          <w:marLeft w:val="0"/>
          <w:marRight w:val="0"/>
          <w:marTop w:val="0"/>
          <w:marBottom w:val="0"/>
          <w:divBdr>
            <w:top w:val="none" w:sz="0" w:space="0" w:color="auto"/>
            <w:left w:val="none" w:sz="0" w:space="0" w:color="auto"/>
            <w:bottom w:val="none" w:sz="0" w:space="0" w:color="auto"/>
            <w:right w:val="none" w:sz="0" w:space="0" w:color="auto"/>
          </w:divBdr>
        </w:div>
        <w:div w:id="1175926311">
          <w:marLeft w:val="0"/>
          <w:marRight w:val="0"/>
          <w:marTop w:val="0"/>
          <w:marBottom w:val="0"/>
          <w:divBdr>
            <w:top w:val="none" w:sz="0" w:space="0" w:color="auto"/>
            <w:left w:val="none" w:sz="0" w:space="0" w:color="auto"/>
            <w:bottom w:val="none" w:sz="0" w:space="0" w:color="auto"/>
            <w:right w:val="none" w:sz="0" w:space="0" w:color="auto"/>
          </w:divBdr>
        </w:div>
        <w:div w:id="394357504">
          <w:marLeft w:val="0"/>
          <w:marRight w:val="0"/>
          <w:marTop w:val="0"/>
          <w:marBottom w:val="0"/>
          <w:divBdr>
            <w:top w:val="none" w:sz="0" w:space="0" w:color="auto"/>
            <w:left w:val="none" w:sz="0" w:space="0" w:color="auto"/>
            <w:bottom w:val="none" w:sz="0" w:space="0" w:color="auto"/>
            <w:right w:val="none" w:sz="0" w:space="0" w:color="auto"/>
          </w:divBdr>
        </w:div>
        <w:div w:id="169033436">
          <w:marLeft w:val="0"/>
          <w:marRight w:val="0"/>
          <w:marTop w:val="0"/>
          <w:marBottom w:val="0"/>
          <w:divBdr>
            <w:top w:val="none" w:sz="0" w:space="0" w:color="auto"/>
            <w:left w:val="none" w:sz="0" w:space="0" w:color="auto"/>
            <w:bottom w:val="none" w:sz="0" w:space="0" w:color="auto"/>
            <w:right w:val="none" w:sz="0" w:space="0" w:color="auto"/>
          </w:divBdr>
        </w:div>
        <w:div w:id="331877599">
          <w:marLeft w:val="0"/>
          <w:marRight w:val="0"/>
          <w:marTop w:val="0"/>
          <w:marBottom w:val="0"/>
          <w:divBdr>
            <w:top w:val="none" w:sz="0" w:space="0" w:color="auto"/>
            <w:left w:val="none" w:sz="0" w:space="0" w:color="auto"/>
            <w:bottom w:val="none" w:sz="0" w:space="0" w:color="auto"/>
            <w:right w:val="none" w:sz="0" w:space="0" w:color="auto"/>
          </w:divBdr>
        </w:div>
        <w:div w:id="1335231644">
          <w:marLeft w:val="0"/>
          <w:marRight w:val="0"/>
          <w:marTop w:val="0"/>
          <w:marBottom w:val="0"/>
          <w:divBdr>
            <w:top w:val="none" w:sz="0" w:space="0" w:color="auto"/>
            <w:left w:val="none" w:sz="0" w:space="0" w:color="auto"/>
            <w:bottom w:val="none" w:sz="0" w:space="0" w:color="auto"/>
            <w:right w:val="none" w:sz="0" w:space="0" w:color="auto"/>
          </w:divBdr>
        </w:div>
        <w:div w:id="1548226271">
          <w:marLeft w:val="0"/>
          <w:marRight w:val="0"/>
          <w:marTop w:val="0"/>
          <w:marBottom w:val="0"/>
          <w:divBdr>
            <w:top w:val="none" w:sz="0" w:space="0" w:color="auto"/>
            <w:left w:val="none" w:sz="0" w:space="0" w:color="auto"/>
            <w:bottom w:val="none" w:sz="0" w:space="0" w:color="auto"/>
            <w:right w:val="none" w:sz="0" w:space="0" w:color="auto"/>
          </w:divBdr>
        </w:div>
      </w:divsChild>
    </w:div>
    <w:div w:id="251593015">
      <w:bodyDiv w:val="1"/>
      <w:marLeft w:val="0"/>
      <w:marRight w:val="0"/>
      <w:marTop w:val="0"/>
      <w:marBottom w:val="0"/>
      <w:divBdr>
        <w:top w:val="none" w:sz="0" w:space="0" w:color="auto"/>
        <w:left w:val="none" w:sz="0" w:space="0" w:color="auto"/>
        <w:bottom w:val="none" w:sz="0" w:space="0" w:color="auto"/>
        <w:right w:val="none" w:sz="0" w:space="0" w:color="auto"/>
      </w:divBdr>
      <w:divsChild>
        <w:div w:id="643125251">
          <w:marLeft w:val="0"/>
          <w:marRight w:val="0"/>
          <w:marTop w:val="0"/>
          <w:marBottom w:val="0"/>
          <w:divBdr>
            <w:top w:val="none" w:sz="0" w:space="0" w:color="auto"/>
            <w:left w:val="none" w:sz="0" w:space="0" w:color="auto"/>
            <w:bottom w:val="none" w:sz="0" w:space="0" w:color="auto"/>
            <w:right w:val="none" w:sz="0" w:space="0" w:color="auto"/>
          </w:divBdr>
        </w:div>
        <w:div w:id="688601155">
          <w:marLeft w:val="0"/>
          <w:marRight w:val="0"/>
          <w:marTop w:val="0"/>
          <w:marBottom w:val="0"/>
          <w:divBdr>
            <w:top w:val="none" w:sz="0" w:space="0" w:color="auto"/>
            <w:left w:val="none" w:sz="0" w:space="0" w:color="auto"/>
            <w:bottom w:val="none" w:sz="0" w:space="0" w:color="auto"/>
            <w:right w:val="none" w:sz="0" w:space="0" w:color="auto"/>
          </w:divBdr>
        </w:div>
        <w:div w:id="1888370114">
          <w:marLeft w:val="0"/>
          <w:marRight w:val="0"/>
          <w:marTop w:val="0"/>
          <w:marBottom w:val="0"/>
          <w:divBdr>
            <w:top w:val="none" w:sz="0" w:space="0" w:color="auto"/>
            <w:left w:val="none" w:sz="0" w:space="0" w:color="auto"/>
            <w:bottom w:val="none" w:sz="0" w:space="0" w:color="auto"/>
            <w:right w:val="none" w:sz="0" w:space="0" w:color="auto"/>
          </w:divBdr>
        </w:div>
        <w:div w:id="1560048453">
          <w:marLeft w:val="0"/>
          <w:marRight w:val="0"/>
          <w:marTop w:val="0"/>
          <w:marBottom w:val="0"/>
          <w:divBdr>
            <w:top w:val="none" w:sz="0" w:space="0" w:color="auto"/>
            <w:left w:val="none" w:sz="0" w:space="0" w:color="auto"/>
            <w:bottom w:val="none" w:sz="0" w:space="0" w:color="auto"/>
            <w:right w:val="none" w:sz="0" w:space="0" w:color="auto"/>
          </w:divBdr>
        </w:div>
        <w:div w:id="1095133091">
          <w:marLeft w:val="0"/>
          <w:marRight w:val="0"/>
          <w:marTop w:val="0"/>
          <w:marBottom w:val="0"/>
          <w:divBdr>
            <w:top w:val="none" w:sz="0" w:space="0" w:color="auto"/>
            <w:left w:val="none" w:sz="0" w:space="0" w:color="auto"/>
            <w:bottom w:val="none" w:sz="0" w:space="0" w:color="auto"/>
            <w:right w:val="none" w:sz="0" w:space="0" w:color="auto"/>
          </w:divBdr>
        </w:div>
        <w:div w:id="255092083">
          <w:marLeft w:val="0"/>
          <w:marRight w:val="0"/>
          <w:marTop w:val="0"/>
          <w:marBottom w:val="0"/>
          <w:divBdr>
            <w:top w:val="none" w:sz="0" w:space="0" w:color="auto"/>
            <w:left w:val="none" w:sz="0" w:space="0" w:color="auto"/>
            <w:bottom w:val="none" w:sz="0" w:space="0" w:color="auto"/>
            <w:right w:val="none" w:sz="0" w:space="0" w:color="auto"/>
          </w:divBdr>
        </w:div>
        <w:div w:id="199974046">
          <w:marLeft w:val="0"/>
          <w:marRight w:val="0"/>
          <w:marTop w:val="0"/>
          <w:marBottom w:val="0"/>
          <w:divBdr>
            <w:top w:val="none" w:sz="0" w:space="0" w:color="auto"/>
            <w:left w:val="none" w:sz="0" w:space="0" w:color="auto"/>
            <w:bottom w:val="none" w:sz="0" w:space="0" w:color="auto"/>
            <w:right w:val="none" w:sz="0" w:space="0" w:color="auto"/>
          </w:divBdr>
        </w:div>
      </w:divsChild>
    </w:div>
    <w:div w:id="707949671">
      <w:bodyDiv w:val="1"/>
      <w:marLeft w:val="0"/>
      <w:marRight w:val="0"/>
      <w:marTop w:val="0"/>
      <w:marBottom w:val="0"/>
      <w:divBdr>
        <w:top w:val="none" w:sz="0" w:space="0" w:color="auto"/>
        <w:left w:val="none" w:sz="0" w:space="0" w:color="auto"/>
        <w:bottom w:val="none" w:sz="0" w:space="0" w:color="auto"/>
        <w:right w:val="none" w:sz="0" w:space="0" w:color="auto"/>
      </w:divBdr>
      <w:divsChild>
        <w:div w:id="467741391">
          <w:marLeft w:val="0"/>
          <w:marRight w:val="0"/>
          <w:marTop w:val="0"/>
          <w:marBottom w:val="0"/>
          <w:divBdr>
            <w:top w:val="none" w:sz="0" w:space="0" w:color="auto"/>
            <w:left w:val="none" w:sz="0" w:space="0" w:color="auto"/>
            <w:bottom w:val="none" w:sz="0" w:space="0" w:color="auto"/>
            <w:right w:val="none" w:sz="0" w:space="0" w:color="auto"/>
          </w:divBdr>
        </w:div>
        <w:div w:id="1367873079">
          <w:marLeft w:val="0"/>
          <w:marRight w:val="0"/>
          <w:marTop w:val="0"/>
          <w:marBottom w:val="0"/>
          <w:divBdr>
            <w:top w:val="none" w:sz="0" w:space="0" w:color="auto"/>
            <w:left w:val="none" w:sz="0" w:space="0" w:color="auto"/>
            <w:bottom w:val="none" w:sz="0" w:space="0" w:color="auto"/>
            <w:right w:val="none" w:sz="0" w:space="0" w:color="auto"/>
          </w:divBdr>
        </w:div>
        <w:div w:id="1530333301">
          <w:marLeft w:val="0"/>
          <w:marRight w:val="0"/>
          <w:marTop w:val="0"/>
          <w:marBottom w:val="0"/>
          <w:divBdr>
            <w:top w:val="none" w:sz="0" w:space="0" w:color="auto"/>
            <w:left w:val="none" w:sz="0" w:space="0" w:color="auto"/>
            <w:bottom w:val="none" w:sz="0" w:space="0" w:color="auto"/>
            <w:right w:val="none" w:sz="0" w:space="0" w:color="auto"/>
          </w:divBdr>
        </w:div>
        <w:div w:id="2092268857">
          <w:marLeft w:val="0"/>
          <w:marRight w:val="0"/>
          <w:marTop w:val="0"/>
          <w:marBottom w:val="0"/>
          <w:divBdr>
            <w:top w:val="none" w:sz="0" w:space="0" w:color="auto"/>
            <w:left w:val="none" w:sz="0" w:space="0" w:color="auto"/>
            <w:bottom w:val="none" w:sz="0" w:space="0" w:color="auto"/>
            <w:right w:val="none" w:sz="0" w:space="0" w:color="auto"/>
          </w:divBdr>
        </w:div>
        <w:div w:id="519659911">
          <w:marLeft w:val="0"/>
          <w:marRight w:val="0"/>
          <w:marTop w:val="0"/>
          <w:marBottom w:val="0"/>
          <w:divBdr>
            <w:top w:val="none" w:sz="0" w:space="0" w:color="auto"/>
            <w:left w:val="none" w:sz="0" w:space="0" w:color="auto"/>
            <w:bottom w:val="none" w:sz="0" w:space="0" w:color="auto"/>
            <w:right w:val="none" w:sz="0" w:space="0" w:color="auto"/>
          </w:divBdr>
        </w:div>
        <w:div w:id="182521525">
          <w:marLeft w:val="0"/>
          <w:marRight w:val="0"/>
          <w:marTop w:val="0"/>
          <w:marBottom w:val="0"/>
          <w:divBdr>
            <w:top w:val="none" w:sz="0" w:space="0" w:color="auto"/>
            <w:left w:val="none" w:sz="0" w:space="0" w:color="auto"/>
            <w:bottom w:val="none" w:sz="0" w:space="0" w:color="auto"/>
            <w:right w:val="none" w:sz="0" w:space="0" w:color="auto"/>
          </w:divBdr>
        </w:div>
        <w:div w:id="1252659234">
          <w:marLeft w:val="0"/>
          <w:marRight w:val="0"/>
          <w:marTop w:val="0"/>
          <w:marBottom w:val="0"/>
          <w:divBdr>
            <w:top w:val="none" w:sz="0" w:space="0" w:color="auto"/>
            <w:left w:val="none" w:sz="0" w:space="0" w:color="auto"/>
            <w:bottom w:val="none" w:sz="0" w:space="0" w:color="auto"/>
            <w:right w:val="none" w:sz="0" w:space="0" w:color="auto"/>
          </w:divBdr>
        </w:div>
      </w:divsChild>
    </w:div>
    <w:div w:id="969744710">
      <w:bodyDiv w:val="1"/>
      <w:marLeft w:val="0"/>
      <w:marRight w:val="0"/>
      <w:marTop w:val="0"/>
      <w:marBottom w:val="0"/>
      <w:divBdr>
        <w:top w:val="none" w:sz="0" w:space="0" w:color="auto"/>
        <w:left w:val="none" w:sz="0" w:space="0" w:color="auto"/>
        <w:bottom w:val="none" w:sz="0" w:space="0" w:color="auto"/>
        <w:right w:val="none" w:sz="0" w:space="0" w:color="auto"/>
      </w:divBdr>
      <w:divsChild>
        <w:div w:id="108286273">
          <w:marLeft w:val="0"/>
          <w:marRight w:val="0"/>
          <w:marTop w:val="0"/>
          <w:marBottom w:val="0"/>
          <w:divBdr>
            <w:top w:val="none" w:sz="0" w:space="0" w:color="auto"/>
            <w:left w:val="none" w:sz="0" w:space="0" w:color="auto"/>
            <w:bottom w:val="none" w:sz="0" w:space="0" w:color="auto"/>
            <w:right w:val="none" w:sz="0" w:space="0" w:color="auto"/>
          </w:divBdr>
        </w:div>
        <w:div w:id="1320185120">
          <w:marLeft w:val="0"/>
          <w:marRight w:val="0"/>
          <w:marTop w:val="0"/>
          <w:marBottom w:val="0"/>
          <w:divBdr>
            <w:top w:val="none" w:sz="0" w:space="0" w:color="auto"/>
            <w:left w:val="none" w:sz="0" w:space="0" w:color="auto"/>
            <w:bottom w:val="none" w:sz="0" w:space="0" w:color="auto"/>
            <w:right w:val="none" w:sz="0" w:space="0" w:color="auto"/>
          </w:divBdr>
        </w:div>
        <w:div w:id="25299150">
          <w:marLeft w:val="0"/>
          <w:marRight w:val="0"/>
          <w:marTop w:val="0"/>
          <w:marBottom w:val="0"/>
          <w:divBdr>
            <w:top w:val="none" w:sz="0" w:space="0" w:color="auto"/>
            <w:left w:val="none" w:sz="0" w:space="0" w:color="auto"/>
            <w:bottom w:val="none" w:sz="0" w:space="0" w:color="auto"/>
            <w:right w:val="none" w:sz="0" w:space="0" w:color="auto"/>
          </w:divBdr>
        </w:div>
        <w:div w:id="1418791360">
          <w:marLeft w:val="0"/>
          <w:marRight w:val="0"/>
          <w:marTop w:val="0"/>
          <w:marBottom w:val="0"/>
          <w:divBdr>
            <w:top w:val="none" w:sz="0" w:space="0" w:color="auto"/>
            <w:left w:val="none" w:sz="0" w:space="0" w:color="auto"/>
            <w:bottom w:val="none" w:sz="0" w:space="0" w:color="auto"/>
            <w:right w:val="none" w:sz="0" w:space="0" w:color="auto"/>
          </w:divBdr>
        </w:div>
        <w:div w:id="483740927">
          <w:marLeft w:val="0"/>
          <w:marRight w:val="0"/>
          <w:marTop w:val="0"/>
          <w:marBottom w:val="0"/>
          <w:divBdr>
            <w:top w:val="none" w:sz="0" w:space="0" w:color="auto"/>
            <w:left w:val="none" w:sz="0" w:space="0" w:color="auto"/>
            <w:bottom w:val="none" w:sz="0" w:space="0" w:color="auto"/>
            <w:right w:val="none" w:sz="0" w:space="0" w:color="auto"/>
          </w:divBdr>
        </w:div>
        <w:div w:id="1954634091">
          <w:marLeft w:val="0"/>
          <w:marRight w:val="0"/>
          <w:marTop w:val="0"/>
          <w:marBottom w:val="0"/>
          <w:divBdr>
            <w:top w:val="none" w:sz="0" w:space="0" w:color="auto"/>
            <w:left w:val="none" w:sz="0" w:space="0" w:color="auto"/>
            <w:bottom w:val="none" w:sz="0" w:space="0" w:color="auto"/>
            <w:right w:val="none" w:sz="0" w:space="0" w:color="auto"/>
          </w:divBdr>
        </w:div>
        <w:div w:id="41484921">
          <w:marLeft w:val="0"/>
          <w:marRight w:val="0"/>
          <w:marTop w:val="0"/>
          <w:marBottom w:val="0"/>
          <w:divBdr>
            <w:top w:val="none" w:sz="0" w:space="0" w:color="auto"/>
            <w:left w:val="none" w:sz="0" w:space="0" w:color="auto"/>
            <w:bottom w:val="none" w:sz="0" w:space="0" w:color="auto"/>
            <w:right w:val="none" w:sz="0" w:space="0" w:color="auto"/>
          </w:divBdr>
        </w:div>
      </w:divsChild>
    </w:div>
    <w:div w:id="1651212245">
      <w:bodyDiv w:val="1"/>
      <w:marLeft w:val="0"/>
      <w:marRight w:val="0"/>
      <w:marTop w:val="0"/>
      <w:marBottom w:val="0"/>
      <w:divBdr>
        <w:top w:val="none" w:sz="0" w:space="0" w:color="auto"/>
        <w:left w:val="none" w:sz="0" w:space="0" w:color="auto"/>
        <w:bottom w:val="none" w:sz="0" w:space="0" w:color="auto"/>
        <w:right w:val="none" w:sz="0" w:space="0" w:color="auto"/>
      </w:divBdr>
      <w:divsChild>
        <w:div w:id="522599107">
          <w:marLeft w:val="0"/>
          <w:marRight w:val="0"/>
          <w:marTop w:val="0"/>
          <w:marBottom w:val="0"/>
          <w:divBdr>
            <w:top w:val="none" w:sz="0" w:space="0" w:color="auto"/>
            <w:left w:val="none" w:sz="0" w:space="0" w:color="auto"/>
            <w:bottom w:val="none" w:sz="0" w:space="0" w:color="auto"/>
            <w:right w:val="none" w:sz="0" w:space="0" w:color="auto"/>
          </w:divBdr>
        </w:div>
        <w:div w:id="1941911400">
          <w:marLeft w:val="0"/>
          <w:marRight w:val="0"/>
          <w:marTop w:val="0"/>
          <w:marBottom w:val="0"/>
          <w:divBdr>
            <w:top w:val="none" w:sz="0" w:space="0" w:color="auto"/>
            <w:left w:val="none" w:sz="0" w:space="0" w:color="auto"/>
            <w:bottom w:val="none" w:sz="0" w:space="0" w:color="auto"/>
            <w:right w:val="none" w:sz="0" w:space="0" w:color="auto"/>
          </w:divBdr>
        </w:div>
        <w:div w:id="384258548">
          <w:marLeft w:val="0"/>
          <w:marRight w:val="0"/>
          <w:marTop w:val="0"/>
          <w:marBottom w:val="0"/>
          <w:divBdr>
            <w:top w:val="none" w:sz="0" w:space="0" w:color="auto"/>
            <w:left w:val="none" w:sz="0" w:space="0" w:color="auto"/>
            <w:bottom w:val="none" w:sz="0" w:space="0" w:color="auto"/>
            <w:right w:val="none" w:sz="0" w:space="0" w:color="auto"/>
          </w:divBdr>
        </w:div>
        <w:div w:id="595554377">
          <w:marLeft w:val="0"/>
          <w:marRight w:val="0"/>
          <w:marTop w:val="0"/>
          <w:marBottom w:val="0"/>
          <w:divBdr>
            <w:top w:val="none" w:sz="0" w:space="0" w:color="auto"/>
            <w:left w:val="none" w:sz="0" w:space="0" w:color="auto"/>
            <w:bottom w:val="none" w:sz="0" w:space="0" w:color="auto"/>
            <w:right w:val="none" w:sz="0" w:space="0" w:color="auto"/>
          </w:divBdr>
        </w:div>
        <w:div w:id="1170363532">
          <w:marLeft w:val="0"/>
          <w:marRight w:val="0"/>
          <w:marTop w:val="0"/>
          <w:marBottom w:val="0"/>
          <w:divBdr>
            <w:top w:val="none" w:sz="0" w:space="0" w:color="auto"/>
            <w:left w:val="none" w:sz="0" w:space="0" w:color="auto"/>
            <w:bottom w:val="none" w:sz="0" w:space="0" w:color="auto"/>
            <w:right w:val="none" w:sz="0" w:space="0" w:color="auto"/>
          </w:divBdr>
        </w:div>
        <w:div w:id="258833546">
          <w:marLeft w:val="0"/>
          <w:marRight w:val="0"/>
          <w:marTop w:val="0"/>
          <w:marBottom w:val="0"/>
          <w:divBdr>
            <w:top w:val="none" w:sz="0" w:space="0" w:color="auto"/>
            <w:left w:val="none" w:sz="0" w:space="0" w:color="auto"/>
            <w:bottom w:val="none" w:sz="0" w:space="0" w:color="auto"/>
            <w:right w:val="none" w:sz="0" w:space="0" w:color="auto"/>
          </w:divBdr>
        </w:div>
        <w:div w:id="1872761744">
          <w:marLeft w:val="0"/>
          <w:marRight w:val="0"/>
          <w:marTop w:val="0"/>
          <w:marBottom w:val="0"/>
          <w:divBdr>
            <w:top w:val="none" w:sz="0" w:space="0" w:color="auto"/>
            <w:left w:val="none" w:sz="0" w:space="0" w:color="auto"/>
            <w:bottom w:val="none" w:sz="0" w:space="0" w:color="auto"/>
            <w:right w:val="none" w:sz="0" w:space="0" w:color="auto"/>
          </w:divBdr>
        </w:div>
      </w:divsChild>
    </w:div>
    <w:div w:id="1875923520">
      <w:bodyDiv w:val="1"/>
      <w:marLeft w:val="0"/>
      <w:marRight w:val="0"/>
      <w:marTop w:val="0"/>
      <w:marBottom w:val="0"/>
      <w:divBdr>
        <w:top w:val="none" w:sz="0" w:space="0" w:color="auto"/>
        <w:left w:val="none" w:sz="0" w:space="0" w:color="auto"/>
        <w:bottom w:val="none" w:sz="0" w:space="0" w:color="auto"/>
        <w:right w:val="none" w:sz="0" w:space="0" w:color="auto"/>
      </w:divBdr>
      <w:divsChild>
        <w:div w:id="2006011099">
          <w:marLeft w:val="0"/>
          <w:marRight w:val="0"/>
          <w:marTop w:val="0"/>
          <w:marBottom w:val="0"/>
          <w:divBdr>
            <w:top w:val="none" w:sz="0" w:space="0" w:color="auto"/>
            <w:left w:val="none" w:sz="0" w:space="0" w:color="auto"/>
            <w:bottom w:val="none" w:sz="0" w:space="0" w:color="auto"/>
            <w:right w:val="none" w:sz="0" w:space="0" w:color="auto"/>
          </w:divBdr>
        </w:div>
        <w:div w:id="369647526">
          <w:marLeft w:val="0"/>
          <w:marRight w:val="0"/>
          <w:marTop w:val="0"/>
          <w:marBottom w:val="0"/>
          <w:divBdr>
            <w:top w:val="none" w:sz="0" w:space="0" w:color="auto"/>
            <w:left w:val="none" w:sz="0" w:space="0" w:color="auto"/>
            <w:bottom w:val="none" w:sz="0" w:space="0" w:color="auto"/>
            <w:right w:val="none" w:sz="0" w:space="0" w:color="auto"/>
          </w:divBdr>
        </w:div>
        <w:div w:id="266473692">
          <w:marLeft w:val="0"/>
          <w:marRight w:val="0"/>
          <w:marTop w:val="0"/>
          <w:marBottom w:val="0"/>
          <w:divBdr>
            <w:top w:val="none" w:sz="0" w:space="0" w:color="auto"/>
            <w:left w:val="none" w:sz="0" w:space="0" w:color="auto"/>
            <w:bottom w:val="none" w:sz="0" w:space="0" w:color="auto"/>
            <w:right w:val="none" w:sz="0" w:space="0" w:color="auto"/>
          </w:divBdr>
        </w:div>
        <w:div w:id="1287467617">
          <w:marLeft w:val="0"/>
          <w:marRight w:val="0"/>
          <w:marTop w:val="0"/>
          <w:marBottom w:val="0"/>
          <w:divBdr>
            <w:top w:val="none" w:sz="0" w:space="0" w:color="auto"/>
            <w:left w:val="none" w:sz="0" w:space="0" w:color="auto"/>
            <w:bottom w:val="none" w:sz="0" w:space="0" w:color="auto"/>
            <w:right w:val="none" w:sz="0" w:space="0" w:color="auto"/>
          </w:divBdr>
        </w:div>
        <w:div w:id="1248149356">
          <w:marLeft w:val="0"/>
          <w:marRight w:val="0"/>
          <w:marTop w:val="0"/>
          <w:marBottom w:val="0"/>
          <w:divBdr>
            <w:top w:val="none" w:sz="0" w:space="0" w:color="auto"/>
            <w:left w:val="none" w:sz="0" w:space="0" w:color="auto"/>
            <w:bottom w:val="none" w:sz="0" w:space="0" w:color="auto"/>
            <w:right w:val="none" w:sz="0" w:space="0" w:color="auto"/>
          </w:divBdr>
        </w:div>
        <w:div w:id="441149400">
          <w:marLeft w:val="0"/>
          <w:marRight w:val="0"/>
          <w:marTop w:val="0"/>
          <w:marBottom w:val="0"/>
          <w:divBdr>
            <w:top w:val="none" w:sz="0" w:space="0" w:color="auto"/>
            <w:left w:val="none" w:sz="0" w:space="0" w:color="auto"/>
            <w:bottom w:val="none" w:sz="0" w:space="0" w:color="auto"/>
            <w:right w:val="none" w:sz="0" w:space="0" w:color="auto"/>
          </w:divBdr>
        </w:div>
        <w:div w:id="1894077920">
          <w:marLeft w:val="0"/>
          <w:marRight w:val="0"/>
          <w:marTop w:val="0"/>
          <w:marBottom w:val="0"/>
          <w:divBdr>
            <w:top w:val="none" w:sz="0" w:space="0" w:color="auto"/>
            <w:left w:val="none" w:sz="0" w:space="0" w:color="auto"/>
            <w:bottom w:val="none" w:sz="0" w:space="0" w:color="auto"/>
            <w:right w:val="none" w:sz="0" w:space="0" w:color="auto"/>
          </w:divBdr>
        </w:div>
      </w:divsChild>
    </w:div>
    <w:div w:id="1908109746">
      <w:bodyDiv w:val="1"/>
      <w:marLeft w:val="0"/>
      <w:marRight w:val="0"/>
      <w:marTop w:val="0"/>
      <w:marBottom w:val="0"/>
      <w:divBdr>
        <w:top w:val="none" w:sz="0" w:space="0" w:color="auto"/>
        <w:left w:val="none" w:sz="0" w:space="0" w:color="auto"/>
        <w:bottom w:val="none" w:sz="0" w:space="0" w:color="auto"/>
        <w:right w:val="none" w:sz="0" w:space="0" w:color="auto"/>
      </w:divBdr>
      <w:divsChild>
        <w:div w:id="1761825848">
          <w:marLeft w:val="0"/>
          <w:marRight w:val="0"/>
          <w:marTop w:val="0"/>
          <w:marBottom w:val="0"/>
          <w:divBdr>
            <w:top w:val="none" w:sz="0" w:space="0" w:color="auto"/>
            <w:left w:val="none" w:sz="0" w:space="0" w:color="auto"/>
            <w:bottom w:val="none" w:sz="0" w:space="0" w:color="auto"/>
            <w:right w:val="none" w:sz="0" w:space="0" w:color="auto"/>
          </w:divBdr>
        </w:div>
        <w:div w:id="2037073734">
          <w:marLeft w:val="0"/>
          <w:marRight w:val="0"/>
          <w:marTop w:val="0"/>
          <w:marBottom w:val="0"/>
          <w:divBdr>
            <w:top w:val="none" w:sz="0" w:space="0" w:color="auto"/>
            <w:left w:val="none" w:sz="0" w:space="0" w:color="auto"/>
            <w:bottom w:val="none" w:sz="0" w:space="0" w:color="auto"/>
            <w:right w:val="none" w:sz="0" w:space="0" w:color="auto"/>
          </w:divBdr>
        </w:div>
        <w:div w:id="1488473758">
          <w:marLeft w:val="0"/>
          <w:marRight w:val="0"/>
          <w:marTop w:val="0"/>
          <w:marBottom w:val="0"/>
          <w:divBdr>
            <w:top w:val="none" w:sz="0" w:space="0" w:color="auto"/>
            <w:left w:val="none" w:sz="0" w:space="0" w:color="auto"/>
            <w:bottom w:val="none" w:sz="0" w:space="0" w:color="auto"/>
            <w:right w:val="none" w:sz="0" w:space="0" w:color="auto"/>
          </w:divBdr>
        </w:div>
        <w:div w:id="284167226">
          <w:marLeft w:val="0"/>
          <w:marRight w:val="0"/>
          <w:marTop w:val="0"/>
          <w:marBottom w:val="0"/>
          <w:divBdr>
            <w:top w:val="none" w:sz="0" w:space="0" w:color="auto"/>
            <w:left w:val="none" w:sz="0" w:space="0" w:color="auto"/>
            <w:bottom w:val="none" w:sz="0" w:space="0" w:color="auto"/>
            <w:right w:val="none" w:sz="0" w:space="0" w:color="auto"/>
          </w:divBdr>
        </w:div>
        <w:div w:id="313728408">
          <w:marLeft w:val="0"/>
          <w:marRight w:val="0"/>
          <w:marTop w:val="0"/>
          <w:marBottom w:val="0"/>
          <w:divBdr>
            <w:top w:val="none" w:sz="0" w:space="0" w:color="auto"/>
            <w:left w:val="none" w:sz="0" w:space="0" w:color="auto"/>
            <w:bottom w:val="none" w:sz="0" w:space="0" w:color="auto"/>
            <w:right w:val="none" w:sz="0" w:space="0" w:color="auto"/>
          </w:divBdr>
        </w:div>
        <w:div w:id="1499342388">
          <w:marLeft w:val="0"/>
          <w:marRight w:val="0"/>
          <w:marTop w:val="0"/>
          <w:marBottom w:val="0"/>
          <w:divBdr>
            <w:top w:val="none" w:sz="0" w:space="0" w:color="auto"/>
            <w:left w:val="none" w:sz="0" w:space="0" w:color="auto"/>
            <w:bottom w:val="none" w:sz="0" w:space="0" w:color="auto"/>
            <w:right w:val="none" w:sz="0" w:space="0" w:color="auto"/>
          </w:divBdr>
        </w:div>
        <w:div w:id="4914155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r@awrad.org"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wrad.org" TargetMode="External"/><Relationship Id="rId4" Type="http://schemas.openxmlformats.org/officeDocument/2006/relationships/webSettings" Target="webSettings.xml"/><Relationship Id="rId9" Type="http://schemas.openxmlformats.org/officeDocument/2006/relationships/hyperlink" Target="mailto:samer@awrad.org"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ook1%20file%20corona%20po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ade\Google%20Drive\AWRAD\Book1%20file%20corona%20po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ade\Google%20Drive\AWRAD\Book1%20file%20corona%20pol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8588145231846003E-2"/>
          <c:y val="5.8666666666666666E-2"/>
          <c:w val="0.67587510936132988"/>
          <c:h val="0.81038278215223092"/>
        </c:manualLayout>
      </c:layout>
      <c:barChart>
        <c:barDir val="col"/>
        <c:grouping val="clustered"/>
        <c:varyColors val="0"/>
        <c:ser>
          <c:idx val="0"/>
          <c:order val="0"/>
          <c:tx>
            <c:strRef>
              <c:f>Sheet1!$P$20</c:f>
              <c:strCache>
                <c:ptCount val="1"/>
                <c:pt idx="0">
                  <c:v>Poll 1: 31.3</c:v>
                </c:pt>
              </c:strCache>
            </c:strRef>
          </c:tx>
          <c:invertIfNegative val="0"/>
          <c:cat>
            <c:strRef>
              <c:f>Sheet1!$O$21:$O$23</c:f>
              <c:strCache>
                <c:ptCount val="3"/>
                <c:pt idx="0">
                  <c:v>Good</c:v>
                </c:pt>
                <c:pt idx="1">
                  <c:v>Average</c:v>
                </c:pt>
                <c:pt idx="2">
                  <c:v>Weak</c:v>
                </c:pt>
              </c:strCache>
            </c:strRef>
          </c:cat>
          <c:val>
            <c:numRef>
              <c:f>Sheet1!$P$21:$P$23</c:f>
              <c:numCache>
                <c:formatCode>0%</c:formatCode>
                <c:ptCount val="3"/>
                <c:pt idx="0">
                  <c:v>0.82</c:v>
                </c:pt>
                <c:pt idx="1">
                  <c:v>0.15</c:v>
                </c:pt>
                <c:pt idx="2">
                  <c:v>0.03</c:v>
                </c:pt>
              </c:numCache>
            </c:numRef>
          </c:val>
          <c:extLst>
            <c:ext xmlns:c16="http://schemas.microsoft.com/office/drawing/2014/chart" uri="{C3380CC4-5D6E-409C-BE32-E72D297353CC}">
              <c16:uniqueId val="{00000000-4AD4-44F2-B3D2-DFA28040DF9A}"/>
            </c:ext>
          </c:extLst>
        </c:ser>
        <c:ser>
          <c:idx val="1"/>
          <c:order val="1"/>
          <c:tx>
            <c:strRef>
              <c:f>Sheet1!$Q$20</c:f>
              <c:strCache>
                <c:ptCount val="1"/>
                <c:pt idx="0">
                  <c:v>Poll 2: 17.4</c:v>
                </c:pt>
              </c:strCache>
            </c:strRef>
          </c:tx>
          <c:invertIfNegative val="0"/>
          <c:cat>
            <c:strRef>
              <c:f>Sheet1!$O$21:$O$23</c:f>
              <c:strCache>
                <c:ptCount val="3"/>
                <c:pt idx="0">
                  <c:v>Good</c:v>
                </c:pt>
                <c:pt idx="1">
                  <c:v>Average</c:v>
                </c:pt>
                <c:pt idx="2">
                  <c:v>Weak</c:v>
                </c:pt>
              </c:strCache>
            </c:strRef>
          </c:cat>
          <c:val>
            <c:numRef>
              <c:f>Sheet1!$Q$21:$Q$23</c:f>
              <c:numCache>
                <c:formatCode>0%</c:formatCode>
                <c:ptCount val="3"/>
                <c:pt idx="0">
                  <c:v>0.75</c:v>
                </c:pt>
                <c:pt idx="1">
                  <c:v>0.2</c:v>
                </c:pt>
                <c:pt idx="2">
                  <c:v>0.05</c:v>
                </c:pt>
              </c:numCache>
            </c:numRef>
          </c:val>
          <c:extLst>
            <c:ext xmlns:c16="http://schemas.microsoft.com/office/drawing/2014/chart" uri="{C3380CC4-5D6E-409C-BE32-E72D297353CC}">
              <c16:uniqueId val="{00000001-4AD4-44F2-B3D2-DFA28040DF9A}"/>
            </c:ext>
          </c:extLst>
        </c:ser>
        <c:dLbls>
          <c:showLegendKey val="0"/>
          <c:showVal val="0"/>
          <c:showCatName val="0"/>
          <c:showSerName val="0"/>
          <c:showPercent val="0"/>
          <c:showBubbleSize val="0"/>
        </c:dLbls>
        <c:gapWidth val="150"/>
        <c:axId val="152930944"/>
        <c:axId val="153354624"/>
      </c:barChart>
      <c:catAx>
        <c:axId val="152930944"/>
        <c:scaling>
          <c:orientation val="minMax"/>
        </c:scaling>
        <c:delete val="0"/>
        <c:axPos val="b"/>
        <c:numFmt formatCode="General" sourceLinked="0"/>
        <c:majorTickMark val="out"/>
        <c:minorTickMark val="none"/>
        <c:tickLblPos val="nextTo"/>
        <c:crossAx val="153354624"/>
        <c:crosses val="autoZero"/>
        <c:auto val="1"/>
        <c:lblAlgn val="ctr"/>
        <c:lblOffset val="100"/>
        <c:noMultiLvlLbl val="0"/>
      </c:catAx>
      <c:valAx>
        <c:axId val="153354624"/>
        <c:scaling>
          <c:orientation val="minMax"/>
        </c:scaling>
        <c:delete val="0"/>
        <c:axPos val="l"/>
        <c:majorGridlines/>
        <c:numFmt formatCode="0%" sourceLinked="1"/>
        <c:majorTickMark val="out"/>
        <c:minorTickMark val="none"/>
        <c:tickLblPos val="nextTo"/>
        <c:crossAx val="1529309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Sheet1!$N$44:$N$56</c:f>
              <c:strCache>
                <c:ptCount val="13"/>
                <c:pt idx="0">
                  <c:v>Conditions of quarantine centers in Gaza</c:v>
                </c:pt>
                <c:pt idx="1">
                  <c:v>Easing movement restrictions in Gaza</c:v>
                </c:pt>
                <c:pt idx="2">
                  <c:v>Arrangements in Gaza for the return of Palestinians from Egypt</c:v>
                </c:pt>
                <c:pt idx="3">
                  <c:v>Assistance to the poor</c:v>
                </c:pt>
                <c:pt idx="4">
                  <c:v>Arrangements by Palestinian Embassy in Egypt for the return of Palestinians from Egypt</c:v>
                </c:pt>
                <c:pt idx="5">
                  <c:v>Conditions of quarantine centers in the West Bank</c:v>
                </c:pt>
                <c:pt idx="6">
                  <c:v>Monitoring of prices of goods</c:v>
                </c:pt>
                <c:pt idx="7">
                  <c:v>Social solidarity </c:v>
                </c:pt>
                <c:pt idx="8">
                  <c:v>Banning attendance of funerals of Covid-19 deceased </c:v>
                </c:pt>
                <c:pt idx="9">
                  <c:v>Establishing a national fund (Waqfat Izz)</c:v>
                </c:pt>
                <c:pt idx="10">
                  <c:v>Increasing Palestinian security presence in Jerusalem communities</c:v>
                </c:pt>
                <c:pt idx="11">
                  <c:v>Ensuring availability of goods</c:v>
                </c:pt>
                <c:pt idx="12">
                  <c:v>Extending State of Emergency  </c:v>
                </c:pt>
              </c:strCache>
            </c:strRef>
          </c:cat>
          <c:val>
            <c:numRef>
              <c:f>Sheet1!$O$44:$O$56</c:f>
              <c:numCache>
                <c:formatCode>0%</c:formatCode>
                <c:ptCount val="13"/>
                <c:pt idx="0">
                  <c:v>0.18</c:v>
                </c:pt>
                <c:pt idx="1">
                  <c:v>0.31</c:v>
                </c:pt>
                <c:pt idx="2">
                  <c:v>0.34</c:v>
                </c:pt>
                <c:pt idx="3">
                  <c:v>0.39</c:v>
                </c:pt>
                <c:pt idx="4">
                  <c:v>0.42</c:v>
                </c:pt>
                <c:pt idx="5">
                  <c:v>0.44</c:v>
                </c:pt>
                <c:pt idx="6">
                  <c:v>0.48</c:v>
                </c:pt>
                <c:pt idx="7">
                  <c:v>0.54</c:v>
                </c:pt>
                <c:pt idx="8">
                  <c:v>0.57999999999999996</c:v>
                </c:pt>
                <c:pt idx="9">
                  <c:v>0.68</c:v>
                </c:pt>
                <c:pt idx="10">
                  <c:v>0.68</c:v>
                </c:pt>
                <c:pt idx="11">
                  <c:v>0.77</c:v>
                </c:pt>
                <c:pt idx="12">
                  <c:v>0.8</c:v>
                </c:pt>
              </c:numCache>
            </c:numRef>
          </c:val>
          <c:extLst>
            <c:ext xmlns:c16="http://schemas.microsoft.com/office/drawing/2014/chart" uri="{C3380CC4-5D6E-409C-BE32-E72D297353CC}">
              <c16:uniqueId val="{00000000-4DC8-4641-BF00-C36F3D6AA27F}"/>
            </c:ext>
          </c:extLst>
        </c:ser>
        <c:dLbls>
          <c:showLegendKey val="0"/>
          <c:showVal val="0"/>
          <c:showCatName val="0"/>
          <c:showSerName val="0"/>
          <c:showPercent val="0"/>
          <c:showBubbleSize val="0"/>
        </c:dLbls>
        <c:gapWidth val="150"/>
        <c:axId val="153948928"/>
        <c:axId val="153950464"/>
      </c:barChart>
      <c:catAx>
        <c:axId val="153948928"/>
        <c:scaling>
          <c:orientation val="minMax"/>
        </c:scaling>
        <c:delete val="0"/>
        <c:axPos val="l"/>
        <c:numFmt formatCode="General" sourceLinked="0"/>
        <c:majorTickMark val="out"/>
        <c:minorTickMark val="none"/>
        <c:tickLblPos val="nextTo"/>
        <c:txPr>
          <a:bodyPr anchor="ctr" anchorCtr="0"/>
          <a:lstStyle/>
          <a:p>
            <a:pPr>
              <a:defRPr sz="800"/>
            </a:pPr>
            <a:endParaRPr lang="en-US"/>
          </a:p>
        </c:txPr>
        <c:crossAx val="153950464"/>
        <c:crosses val="autoZero"/>
        <c:auto val="1"/>
        <c:lblAlgn val="ctr"/>
        <c:lblOffset val="100"/>
        <c:noMultiLvlLbl val="0"/>
      </c:catAx>
      <c:valAx>
        <c:axId val="153950464"/>
        <c:scaling>
          <c:orientation val="minMax"/>
        </c:scaling>
        <c:delete val="0"/>
        <c:axPos val="b"/>
        <c:majorGridlines/>
        <c:numFmt formatCode="0%" sourceLinked="1"/>
        <c:majorTickMark val="out"/>
        <c:minorTickMark val="none"/>
        <c:tickLblPos val="nextTo"/>
        <c:crossAx val="1539489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Sheet1!$N$80:$N$91</c:f>
              <c:strCache>
                <c:ptCount val="12"/>
                <c:pt idx="0">
                  <c:v>Hamas</c:v>
                </c:pt>
                <c:pt idx="1">
                  <c:v>Private Sector</c:v>
                </c:pt>
                <c:pt idx="2">
                  <c:v>NGOs</c:v>
                </c:pt>
                <c:pt idx="3">
                  <c:v>The EU</c:v>
                </c:pt>
                <c:pt idx="4">
                  <c:v>Psychosocial Counseling Services</c:v>
                </c:pt>
                <c:pt idx="5">
                  <c:v>Authorities in the Gaza Strip</c:v>
                </c:pt>
                <c:pt idx="6">
                  <c:v>Fatah</c:v>
                </c:pt>
                <c:pt idx="7">
                  <c:v>Palestine Official Radio</c:v>
                </c:pt>
                <c:pt idx="8">
                  <c:v>Palestine Official TV</c:v>
                </c:pt>
                <c:pt idx="9">
                  <c:v>Local Emergency Committees</c:v>
                </c:pt>
                <c:pt idx="10">
                  <c:v>Ministry of Health</c:v>
                </c:pt>
                <c:pt idx="11">
                  <c:v>Government Led by Shtayyeh</c:v>
                </c:pt>
              </c:strCache>
            </c:strRef>
          </c:cat>
          <c:val>
            <c:numRef>
              <c:f>Sheet1!$O$80:$O$91</c:f>
              <c:numCache>
                <c:formatCode>General</c:formatCode>
                <c:ptCount val="12"/>
                <c:pt idx="0">
                  <c:v>4.2</c:v>
                </c:pt>
                <c:pt idx="1">
                  <c:v>4.5999999999999996</c:v>
                </c:pt>
                <c:pt idx="2">
                  <c:v>5.2</c:v>
                </c:pt>
                <c:pt idx="3">
                  <c:v>5.3</c:v>
                </c:pt>
                <c:pt idx="4">
                  <c:v>5.4</c:v>
                </c:pt>
                <c:pt idx="5">
                  <c:v>5.7</c:v>
                </c:pt>
                <c:pt idx="6">
                  <c:v>6.2</c:v>
                </c:pt>
                <c:pt idx="7">
                  <c:v>6.3</c:v>
                </c:pt>
                <c:pt idx="8">
                  <c:v>6.5</c:v>
                </c:pt>
                <c:pt idx="9">
                  <c:v>6.6</c:v>
                </c:pt>
                <c:pt idx="10">
                  <c:v>7.3</c:v>
                </c:pt>
                <c:pt idx="11">
                  <c:v>7.8</c:v>
                </c:pt>
              </c:numCache>
            </c:numRef>
          </c:val>
          <c:extLst>
            <c:ext xmlns:c16="http://schemas.microsoft.com/office/drawing/2014/chart" uri="{C3380CC4-5D6E-409C-BE32-E72D297353CC}">
              <c16:uniqueId val="{00000000-6F7D-47F4-91DE-54C674D5EFF5}"/>
            </c:ext>
          </c:extLst>
        </c:ser>
        <c:dLbls>
          <c:showLegendKey val="0"/>
          <c:showVal val="0"/>
          <c:showCatName val="0"/>
          <c:showSerName val="0"/>
          <c:showPercent val="0"/>
          <c:showBubbleSize val="0"/>
        </c:dLbls>
        <c:gapWidth val="150"/>
        <c:axId val="153979136"/>
        <c:axId val="153985024"/>
      </c:barChart>
      <c:catAx>
        <c:axId val="153979136"/>
        <c:scaling>
          <c:orientation val="minMax"/>
        </c:scaling>
        <c:delete val="0"/>
        <c:axPos val="l"/>
        <c:numFmt formatCode="General" sourceLinked="0"/>
        <c:majorTickMark val="out"/>
        <c:minorTickMark val="none"/>
        <c:tickLblPos val="nextTo"/>
        <c:crossAx val="153985024"/>
        <c:crosses val="autoZero"/>
        <c:auto val="1"/>
        <c:lblAlgn val="ctr"/>
        <c:lblOffset val="100"/>
        <c:noMultiLvlLbl val="0"/>
      </c:catAx>
      <c:valAx>
        <c:axId val="153985024"/>
        <c:scaling>
          <c:orientation val="minMax"/>
        </c:scaling>
        <c:delete val="0"/>
        <c:axPos val="b"/>
        <c:majorGridlines/>
        <c:numFmt formatCode="General" sourceLinked="1"/>
        <c:majorTickMark val="out"/>
        <c:minorTickMark val="none"/>
        <c:tickLblPos val="nextTo"/>
        <c:crossAx val="1539791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tx>
            <c:strRef>
              <c:f>Sheet1!$O$107</c:f>
              <c:strCache>
                <c:ptCount val="1"/>
                <c:pt idx="0">
                  <c:v>Poll 1: 31.3</c:v>
                </c:pt>
              </c:strCache>
            </c:strRef>
          </c:tx>
          <c:invertIfNegative val="0"/>
          <c:cat>
            <c:strRef>
              <c:f>Sheet1!$N$108:$N$113</c:f>
              <c:strCache>
                <c:ptCount val="6"/>
                <c:pt idx="0">
                  <c:v>Economy</c:v>
                </c:pt>
                <c:pt idx="1">
                  <c:v>Education</c:v>
                </c:pt>
                <c:pt idx="2">
                  <c:v>Crime/Violence</c:v>
                </c:pt>
                <c:pt idx="3">
                  <c:v>Increased burdens on women</c:v>
                </c:pt>
                <c:pt idx="4">
                  <c:v>Violence against women</c:v>
                </c:pt>
                <c:pt idx="5">
                  <c:v>Violence against children</c:v>
                </c:pt>
              </c:strCache>
            </c:strRef>
          </c:cat>
          <c:val>
            <c:numRef>
              <c:f>Sheet1!$O$108:$O$113</c:f>
              <c:numCache>
                <c:formatCode>0%</c:formatCode>
                <c:ptCount val="6"/>
                <c:pt idx="0">
                  <c:v>0.66</c:v>
                </c:pt>
                <c:pt idx="1">
                  <c:v>0.62</c:v>
                </c:pt>
                <c:pt idx="2">
                  <c:v>0.4</c:v>
                </c:pt>
                <c:pt idx="3">
                  <c:v>0.48</c:v>
                </c:pt>
                <c:pt idx="4">
                  <c:v>0.35</c:v>
                </c:pt>
                <c:pt idx="5">
                  <c:v>0.36</c:v>
                </c:pt>
              </c:numCache>
            </c:numRef>
          </c:val>
          <c:extLst>
            <c:ext xmlns:c16="http://schemas.microsoft.com/office/drawing/2014/chart" uri="{C3380CC4-5D6E-409C-BE32-E72D297353CC}">
              <c16:uniqueId val="{00000000-0E65-408E-8848-7B0AF766ED7B}"/>
            </c:ext>
          </c:extLst>
        </c:ser>
        <c:ser>
          <c:idx val="1"/>
          <c:order val="1"/>
          <c:tx>
            <c:strRef>
              <c:f>Sheet1!$P$107</c:f>
              <c:strCache>
                <c:ptCount val="1"/>
                <c:pt idx="0">
                  <c:v>Poll 2: 17.4</c:v>
                </c:pt>
              </c:strCache>
            </c:strRef>
          </c:tx>
          <c:invertIfNegative val="0"/>
          <c:cat>
            <c:strRef>
              <c:f>Sheet1!$N$108:$N$113</c:f>
              <c:strCache>
                <c:ptCount val="6"/>
                <c:pt idx="0">
                  <c:v>Economy</c:v>
                </c:pt>
                <c:pt idx="1">
                  <c:v>Education</c:v>
                </c:pt>
                <c:pt idx="2">
                  <c:v>Crime/Violence</c:v>
                </c:pt>
                <c:pt idx="3">
                  <c:v>Increased burdens on women</c:v>
                </c:pt>
                <c:pt idx="4">
                  <c:v>Violence against women</c:v>
                </c:pt>
                <c:pt idx="5">
                  <c:v>Violence against children</c:v>
                </c:pt>
              </c:strCache>
            </c:strRef>
          </c:cat>
          <c:val>
            <c:numRef>
              <c:f>Sheet1!$P$108:$P$113</c:f>
              <c:numCache>
                <c:formatCode>0%</c:formatCode>
                <c:ptCount val="6"/>
                <c:pt idx="0">
                  <c:v>0.93</c:v>
                </c:pt>
                <c:pt idx="1">
                  <c:v>0.85</c:v>
                </c:pt>
                <c:pt idx="2">
                  <c:v>0.57999999999999996</c:v>
                </c:pt>
                <c:pt idx="3">
                  <c:v>0.54</c:v>
                </c:pt>
                <c:pt idx="4">
                  <c:v>0.53</c:v>
                </c:pt>
                <c:pt idx="5">
                  <c:v>0.49</c:v>
                </c:pt>
              </c:numCache>
            </c:numRef>
          </c:val>
          <c:extLst>
            <c:ext xmlns:c16="http://schemas.microsoft.com/office/drawing/2014/chart" uri="{C3380CC4-5D6E-409C-BE32-E72D297353CC}">
              <c16:uniqueId val="{00000001-0E65-408E-8848-7B0AF766ED7B}"/>
            </c:ext>
          </c:extLst>
        </c:ser>
        <c:dLbls>
          <c:showLegendKey val="0"/>
          <c:showVal val="0"/>
          <c:showCatName val="0"/>
          <c:showSerName val="0"/>
          <c:showPercent val="0"/>
          <c:showBubbleSize val="0"/>
        </c:dLbls>
        <c:gapWidth val="150"/>
        <c:axId val="154170112"/>
        <c:axId val="154171648"/>
      </c:barChart>
      <c:catAx>
        <c:axId val="154170112"/>
        <c:scaling>
          <c:orientation val="minMax"/>
        </c:scaling>
        <c:delete val="0"/>
        <c:axPos val="l"/>
        <c:numFmt formatCode="General" sourceLinked="0"/>
        <c:majorTickMark val="out"/>
        <c:minorTickMark val="none"/>
        <c:tickLblPos val="nextTo"/>
        <c:crossAx val="154171648"/>
        <c:crosses val="autoZero"/>
        <c:auto val="1"/>
        <c:lblAlgn val="ctr"/>
        <c:lblOffset val="100"/>
        <c:noMultiLvlLbl val="0"/>
      </c:catAx>
      <c:valAx>
        <c:axId val="154171648"/>
        <c:scaling>
          <c:orientation val="minMax"/>
        </c:scaling>
        <c:delete val="0"/>
        <c:axPos val="b"/>
        <c:majorGridlines/>
        <c:numFmt formatCode="0%" sourceLinked="1"/>
        <c:majorTickMark val="out"/>
        <c:minorTickMark val="none"/>
        <c:tickLblPos val="nextTo"/>
        <c:crossAx val="154170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Braden Thue</cp:lastModifiedBy>
  <cp:revision>2</cp:revision>
  <dcterms:created xsi:type="dcterms:W3CDTF">2020-04-20T08:50:00Z</dcterms:created>
  <dcterms:modified xsi:type="dcterms:W3CDTF">2020-04-20T08:50:00Z</dcterms:modified>
</cp:coreProperties>
</file>